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png" ContentType="image/pn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Verdana" w:hAnsi="Verdana"/>
          <w:b/>
          <w:sz w:val="22"/>
          <w:szCs w:val="22"/>
          <w:lang w:val="it-IT"/>
        </w:rPr>
      </w:pPr>
      <w:bookmarkStart w:id="0" w:name="_GoBack"/>
      <w:bookmarkEnd w:id="0"/>
      <w:r>
        <w:rPr>
          <w:rFonts w:ascii="Verdana" w:hAnsi="Verdana"/>
          <w:b/>
          <w:sz w:val="22"/>
          <w:szCs w:val="22"/>
          <w:lang w:val="it-IT"/>
        </w:rPr>
        <w:t>TABELLA A) Commenti, osservazioni e proposte riguardanti la formulazione di ogni singola disposizione contenuta nel testo dello Schema di Regolamento</w:t>
      </w:r>
    </w:p>
    <w:p>
      <w:pPr>
        <w:rPr>
          <w:rFonts w:ascii="Verdana" w:hAnsi="Verdana"/>
          <w:sz w:val="22"/>
          <w:szCs w:val="22"/>
          <w:lang w:val="it-IT"/>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418"/>
        <w:gridCol w:w="1701"/>
        <w:gridCol w:w="11670"/>
      </w:tblGrid>
      <w:tr>
        <w:tc>
          <w:tcPr>
            <w:tcW w:w="250" w:type="dxa"/>
            <w:tcBorders>
              <w:right w:val="nil"/>
            </w:tcBorders>
            <w:shd w:val="clear" w:color="auto" w:fill="1F497D"/>
          </w:tcPr>
          <w:p>
            <w:pPr>
              <w:spacing w:before="120"/>
              <w:ind w:left="278"/>
              <w:jc w:val="center"/>
              <w:rPr>
                <w:rFonts w:ascii="Verdana" w:hAnsi="Verdana"/>
                <w:b/>
                <w:sz w:val="22"/>
                <w:szCs w:val="22"/>
                <w:lang w:val="it-IT"/>
              </w:rPr>
            </w:pPr>
          </w:p>
        </w:tc>
        <w:tc>
          <w:tcPr>
            <w:tcW w:w="14789" w:type="dxa"/>
            <w:gridSpan w:val="3"/>
            <w:tcBorders>
              <w:left w:val="nil"/>
              <w:right w:val="nil"/>
            </w:tcBorders>
            <w:shd w:val="clear" w:color="auto" w:fill="1F497D"/>
          </w:tcPr>
          <w:p>
            <w:pPr>
              <w:spacing w:before="120" w:after="120"/>
              <w:ind w:left="278"/>
              <w:jc w:val="center"/>
              <w:rPr>
                <w:rFonts w:ascii="Verdana" w:hAnsi="Verdana"/>
                <w:b/>
                <w:color w:val="FFFFFF"/>
                <w:sz w:val="22"/>
                <w:szCs w:val="22"/>
                <w:lang w:val="it-IT"/>
              </w:rPr>
            </w:pPr>
            <w:r>
              <w:rPr>
                <w:rFonts w:ascii="Verdana" w:hAnsi="Verdana"/>
                <w:b/>
                <w:color w:val="FFFFFF"/>
                <w:sz w:val="22"/>
                <w:szCs w:val="22"/>
                <w:lang w:val="it-IT"/>
              </w:rPr>
              <w:t xml:space="preserve">Documento di consultazione n.  </w:t>
            </w:r>
            <w:r>
              <w:rPr>
                <w:rFonts w:ascii="Verdana" w:hAnsi="Verdana"/>
                <w:b/>
                <w:color w:val="FFFFFF" w:themeColor="background1"/>
                <w:sz w:val="22"/>
                <w:szCs w:val="22"/>
                <w:lang w:val="it-IT"/>
              </w:rPr>
              <w:t>2/</w:t>
            </w:r>
            <w:r>
              <w:rPr>
                <w:rFonts w:ascii="Verdana" w:hAnsi="Verdana"/>
                <w:b/>
                <w:color w:val="FFFFFF"/>
                <w:sz w:val="22"/>
                <w:szCs w:val="22"/>
                <w:lang w:val="it-IT"/>
              </w:rPr>
              <w:t>2017</w:t>
            </w:r>
          </w:p>
          <w:p>
            <w:pPr>
              <w:autoSpaceDE w:val="0"/>
              <w:autoSpaceDN w:val="0"/>
              <w:adjustRightInd w:val="0"/>
              <w:spacing w:after="120"/>
              <w:jc w:val="both"/>
              <w:rPr>
                <w:rFonts w:ascii="Verdana" w:hAnsi="Verdana" w:cs="Arial"/>
                <w:b/>
                <w:bCs/>
                <w:color w:val="FFFFFF" w:themeColor="background1"/>
                <w:sz w:val="22"/>
                <w:szCs w:val="22"/>
                <w:lang w:val="it-IT" w:eastAsia="it-IT"/>
              </w:rPr>
            </w:pPr>
            <w:r>
              <w:rPr>
                <w:rFonts w:ascii="Verdana" w:hAnsi="Verdana" w:cs="Arial"/>
                <w:b/>
                <w:bCs/>
                <w:color w:val="FFFFFF"/>
                <w:sz w:val="22"/>
                <w:szCs w:val="22"/>
                <w:lang w:val="it-IT" w:eastAsia="it-IT"/>
              </w:rPr>
              <w:t xml:space="preserve">SCHEMA DI REGOLAMENTO </w:t>
            </w:r>
            <w:proofErr w:type="spellStart"/>
            <w:r>
              <w:rPr>
                <w:rFonts w:ascii="Verdana" w:hAnsi="Verdana" w:cs="Arial"/>
                <w:b/>
                <w:bCs/>
                <w:color w:val="FFFFFF"/>
                <w:sz w:val="22"/>
                <w:szCs w:val="22"/>
                <w:lang w:val="it-IT" w:eastAsia="it-IT"/>
              </w:rPr>
              <w:t>IVASS</w:t>
            </w:r>
            <w:proofErr w:type="spellEnd"/>
            <w:r>
              <w:rPr>
                <w:rFonts w:ascii="Verdana" w:hAnsi="Verdana" w:cs="Arial"/>
                <w:b/>
                <w:bCs/>
                <w:color w:val="FFFFFF"/>
                <w:sz w:val="22"/>
                <w:szCs w:val="22"/>
                <w:lang w:val="it-IT" w:eastAsia="it-IT"/>
              </w:rPr>
              <w:t xml:space="preserve"> RECANTE DISPOSIZIONI IN MATERIA DI SISTEMA DI GOVERNO SOCIETARIO DI CUI AL TITOLO III (ESERCIZIO DELL’ATTIVITÀ ASSICURATIVA) E IN PARTICOLARE AL CAPO I (DISPOSIZIONI GENERALI), ARTICOLI 29-BIS, 30, 30-BIS, 30-QUATER, 30-QUINQUES, 30-SEXIES, 30-SEPTIES, NONCHÉ DI CUI AL TITOLO XV (VIGILANZA SUL GRUPPO), E IN PARTICOLARE AL CAPO III (STRUMENTI DI VIGILANZA SUL GRUPPO), ARTICOLO 215-BIS (SISTEMA DI GOVERNO SOCIETARIO DEL GRUPPO), DEL DECRETO LEGISLATIVO 7 SETTEMBRE 2005, N. 209 - CODICE DELLE ASSICURAZIONI PRIVATE -  MODIFICATO DAL DECRETO LEGISLATIVO 12 MAGGIO 2015, N. 74, CONSEGUENTE ALL’IMPLEMENTAZIONE NAZIONALE DELLE LINEE GUIDA EMANATE DA </w:t>
            </w:r>
            <w:proofErr w:type="spellStart"/>
            <w:r>
              <w:rPr>
                <w:rFonts w:ascii="Verdana" w:hAnsi="Verdana" w:cs="Arial"/>
                <w:b/>
                <w:bCs/>
                <w:color w:val="FFFFFF"/>
                <w:sz w:val="22"/>
                <w:szCs w:val="22"/>
                <w:lang w:val="it-IT" w:eastAsia="it-IT"/>
              </w:rPr>
              <w:t>EIOPA</w:t>
            </w:r>
            <w:proofErr w:type="spellEnd"/>
            <w:r>
              <w:rPr>
                <w:rFonts w:ascii="Verdana" w:hAnsi="Verdana" w:cs="Arial"/>
                <w:b/>
                <w:bCs/>
                <w:color w:val="FFFFFF"/>
                <w:sz w:val="22"/>
                <w:szCs w:val="22"/>
                <w:lang w:val="it-IT" w:eastAsia="it-IT"/>
              </w:rPr>
              <w:t xml:space="preserve"> SUL SISTEMA DI GOVERNO SOCIETARIO.</w:t>
            </w:r>
          </w:p>
        </w:tc>
      </w:tr>
      <w:tr>
        <w:tc>
          <w:tcPr>
            <w:tcW w:w="15039" w:type="dxa"/>
            <w:gridSpan w:val="4"/>
            <w:tcBorders>
              <w:bottom w:val="single" w:sz="4" w:space="0" w:color="auto"/>
            </w:tcBorders>
            <w:shd w:val="clear" w:color="auto" w:fill="auto"/>
          </w:tcPr>
          <w:p>
            <w:pPr>
              <w:spacing w:before="120"/>
              <w:rPr>
                <w:rFonts w:ascii="Verdana" w:hAnsi="Verdana"/>
                <w:b/>
                <w:bCs/>
                <w:color w:val="000000"/>
                <w:sz w:val="22"/>
                <w:szCs w:val="22"/>
                <w:u w:val="single"/>
                <w:lang w:val="it-IT"/>
              </w:rPr>
            </w:pPr>
            <w:r>
              <w:rPr>
                <w:rFonts w:ascii="Verdana" w:hAnsi="Verdana"/>
                <w:b/>
                <w:bCs/>
                <w:color w:val="000000"/>
                <w:sz w:val="22"/>
                <w:szCs w:val="22"/>
                <w:u w:val="single"/>
                <w:lang w:val="it-IT"/>
              </w:rPr>
              <w:t>Legenda</w:t>
            </w:r>
          </w:p>
          <w:p>
            <w:pPr>
              <w:spacing w:before="120"/>
              <w:rPr>
                <w:rFonts w:ascii="Verdana" w:hAnsi="Verdana"/>
                <w:b/>
                <w:bCs/>
                <w:color w:val="000000"/>
                <w:sz w:val="22"/>
                <w:szCs w:val="22"/>
                <w:lang w:val="it-IT"/>
              </w:rPr>
            </w:pPr>
            <w:r>
              <w:rPr>
                <w:rFonts w:ascii="Verdana" w:hAnsi="Verdana"/>
                <w:b/>
                <w:bCs/>
                <w:color w:val="000000"/>
                <w:sz w:val="22"/>
                <w:szCs w:val="22"/>
                <w:lang w:val="it-IT"/>
              </w:rPr>
              <w:t>Nella riga “Commentatore” i singoli soggetti dovranno inserire la loro denominazione (anche in forma abbreviata).</w:t>
            </w:r>
          </w:p>
          <w:p>
            <w:pPr>
              <w:spacing w:before="120"/>
              <w:rPr>
                <w:rFonts w:ascii="Verdana" w:hAnsi="Verdana"/>
                <w:b/>
                <w:bCs/>
                <w:color w:val="000000"/>
                <w:sz w:val="22"/>
                <w:szCs w:val="22"/>
                <w:lang w:val="it-IT"/>
              </w:rPr>
            </w:pPr>
            <w:r>
              <w:rPr>
                <w:rFonts w:ascii="Verdana" w:hAnsi="Verdana"/>
                <w:b/>
                <w:bCs/>
                <w:color w:val="000000"/>
                <w:sz w:val="22"/>
                <w:szCs w:val="22"/>
                <w:lang w:val="it-IT"/>
              </w:rPr>
              <w:t>Nella riga “Osservazioni generali” i singoli soggetti potranno inserire commenti di carattere generale.</w:t>
            </w:r>
          </w:p>
          <w:p>
            <w:pPr>
              <w:spacing w:before="120"/>
              <w:rPr>
                <w:rFonts w:ascii="Verdana" w:hAnsi="Verdana"/>
                <w:bCs/>
                <w:color w:val="000000"/>
                <w:sz w:val="22"/>
                <w:szCs w:val="22"/>
                <w:lang w:val="it-IT"/>
              </w:rPr>
            </w:pPr>
            <w:r>
              <w:rPr>
                <w:rFonts w:ascii="Verdana" w:hAnsi="Verdana"/>
                <w:b/>
                <w:bCs/>
                <w:color w:val="000000"/>
                <w:sz w:val="22"/>
                <w:szCs w:val="22"/>
                <w:lang w:val="it-IT"/>
              </w:rPr>
              <w:t>Nelle colonne “Articolo” e “Comma” andranno inseriti, rispettivamente, l’articolo e il comma cui si riferisce l’osservazione e la proposta di modifica.</w:t>
            </w:r>
          </w:p>
          <w:p>
            <w:pPr>
              <w:spacing w:before="120"/>
              <w:rPr>
                <w:rFonts w:ascii="Verdana" w:hAnsi="Verdana"/>
                <w:b/>
                <w:bCs/>
                <w:color w:val="000000"/>
                <w:sz w:val="22"/>
                <w:szCs w:val="22"/>
                <w:lang w:val="it-IT"/>
              </w:rPr>
            </w:pPr>
            <w:r>
              <w:rPr>
                <w:rFonts w:ascii="Verdana" w:hAnsi="Verdana"/>
                <w:b/>
                <w:bCs/>
                <w:color w:val="000000"/>
                <w:sz w:val="22"/>
                <w:szCs w:val="22"/>
                <w:lang w:val="it-IT"/>
              </w:rPr>
              <w:t>Nella colonna “Osservazioni e proposte” andranno inserite le osservazioni specifiche e le proposte di modifica.</w:t>
            </w:r>
          </w:p>
          <w:p>
            <w:pPr>
              <w:spacing w:before="120"/>
              <w:rPr>
                <w:rFonts w:ascii="Verdana" w:hAnsi="Verdana"/>
                <w:b/>
                <w:bCs/>
                <w:color w:val="000000"/>
                <w:sz w:val="22"/>
                <w:szCs w:val="22"/>
                <w:lang w:val="it-IT"/>
              </w:rPr>
            </w:pPr>
          </w:p>
        </w:tc>
      </w:tr>
      <w:tr>
        <w:tc>
          <w:tcPr>
            <w:tcW w:w="3369" w:type="dxa"/>
            <w:gridSpan w:val="3"/>
            <w:shd w:val="clear" w:color="auto" w:fill="F2F2F2"/>
            <w:vAlign w:val="center"/>
          </w:tcPr>
          <w:p>
            <w:pPr>
              <w:spacing w:before="120"/>
              <w:jc w:val="center"/>
              <w:rPr>
                <w:rFonts w:ascii="Verdana" w:hAnsi="Verdana"/>
                <w:b/>
                <w:bCs/>
                <w:color w:val="000000"/>
                <w:sz w:val="22"/>
                <w:szCs w:val="22"/>
                <w:lang w:val="it-IT"/>
              </w:rPr>
            </w:pPr>
            <w:r>
              <w:rPr>
                <w:rFonts w:ascii="Verdana" w:hAnsi="Verdana"/>
                <w:b/>
                <w:bCs/>
                <w:color w:val="000000"/>
                <w:sz w:val="22"/>
                <w:szCs w:val="22"/>
                <w:lang w:val="it-IT"/>
              </w:rPr>
              <w:t>Commentatore</w:t>
            </w:r>
          </w:p>
          <w:p>
            <w:pPr>
              <w:spacing w:before="120"/>
              <w:jc w:val="center"/>
              <w:rPr>
                <w:rFonts w:ascii="Verdana" w:hAnsi="Verdana"/>
                <w:b/>
                <w:bCs/>
                <w:color w:val="000000"/>
                <w:sz w:val="22"/>
                <w:szCs w:val="22"/>
                <w:lang w:val="it-IT"/>
              </w:rPr>
            </w:pPr>
          </w:p>
        </w:tc>
        <w:tc>
          <w:tcPr>
            <w:tcW w:w="11670" w:type="dxa"/>
            <w:tcBorders>
              <w:bottom w:val="single" w:sz="4" w:space="0" w:color="auto"/>
            </w:tcBorders>
            <w:shd w:val="clear" w:color="auto" w:fill="FFFFFF"/>
          </w:tcPr>
          <w:p>
            <w:pPr>
              <w:spacing w:before="120"/>
              <w:jc w:val="center"/>
              <w:rPr>
                <w:rFonts w:ascii="Verdana" w:hAnsi="Verdana"/>
                <w:b/>
                <w:bCs/>
                <w:color w:val="000000"/>
                <w:sz w:val="22"/>
                <w:szCs w:val="22"/>
                <w:lang w:val="it-IT"/>
              </w:rPr>
            </w:pPr>
            <w:r>
              <w:rPr>
                <w:rFonts w:ascii="Verdana" w:hAnsi="Verdana"/>
                <w:b/>
                <w:bCs/>
                <w:color w:val="000000"/>
                <w:sz w:val="22"/>
                <w:szCs w:val="22"/>
                <w:lang w:val="it-IT"/>
              </w:rPr>
              <w:t xml:space="preserve">Norton Rose </w:t>
            </w:r>
            <w:proofErr w:type="spellStart"/>
            <w:r>
              <w:rPr>
                <w:rFonts w:ascii="Verdana" w:hAnsi="Verdana"/>
                <w:b/>
                <w:bCs/>
                <w:color w:val="000000"/>
                <w:sz w:val="22"/>
                <w:szCs w:val="22"/>
                <w:lang w:val="it-IT"/>
              </w:rPr>
              <w:t>Fulbright</w:t>
            </w:r>
            <w:proofErr w:type="spellEnd"/>
            <w:r>
              <w:rPr>
                <w:rFonts w:ascii="Verdana" w:hAnsi="Verdana"/>
                <w:b/>
                <w:bCs/>
                <w:color w:val="000000"/>
                <w:sz w:val="22"/>
                <w:szCs w:val="22"/>
                <w:lang w:val="it-IT"/>
              </w:rPr>
              <w:t xml:space="preserve"> Studio legale – Avv. S. Iannitti</w:t>
            </w:r>
          </w:p>
        </w:tc>
      </w:tr>
      <w:tr>
        <w:trPr>
          <w:trHeight w:val="3782"/>
        </w:trPr>
        <w:tc>
          <w:tcPr>
            <w:tcW w:w="3369" w:type="dxa"/>
            <w:gridSpan w:val="3"/>
            <w:tcBorders>
              <w:bottom w:val="single" w:sz="4" w:space="0" w:color="auto"/>
            </w:tcBorders>
            <w:shd w:val="clear" w:color="auto" w:fill="F2F2F2"/>
            <w:vAlign w:val="center"/>
          </w:tcPr>
          <w:p>
            <w:pPr>
              <w:spacing w:before="120"/>
              <w:ind w:left="-392" w:firstLine="392"/>
              <w:jc w:val="center"/>
              <w:rPr>
                <w:rFonts w:ascii="Verdana" w:hAnsi="Verdana"/>
                <w:b/>
                <w:bCs/>
                <w:color w:val="000000"/>
                <w:sz w:val="20"/>
                <w:szCs w:val="20"/>
                <w:lang w:val="it-IT"/>
              </w:rPr>
            </w:pPr>
            <w:r>
              <w:rPr>
                <w:rFonts w:ascii="Verdana" w:hAnsi="Verdana"/>
                <w:b/>
                <w:bCs/>
                <w:color w:val="000000"/>
                <w:sz w:val="20"/>
                <w:szCs w:val="20"/>
                <w:lang w:val="it-IT"/>
              </w:rPr>
              <w:lastRenderedPageBreak/>
              <w:t>Osservazioni generali</w:t>
            </w:r>
          </w:p>
        </w:tc>
        <w:tc>
          <w:tcPr>
            <w:tcW w:w="11670" w:type="dxa"/>
            <w:tcBorders>
              <w:bottom w:val="single" w:sz="4" w:space="0" w:color="auto"/>
            </w:tcBorders>
            <w:shd w:val="clear" w:color="auto" w:fill="FFFFFF"/>
            <w:vAlign w:val="center"/>
          </w:tcPr>
          <w:p>
            <w:pPr>
              <w:spacing w:before="120"/>
              <w:jc w:val="both"/>
              <w:rPr>
                <w:rFonts w:ascii="Verdana" w:hAnsi="Verdana"/>
                <w:b/>
                <w:bCs/>
                <w:color w:val="000000"/>
                <w:sz w:val="20"/>
                <w:szCs w:val="20"/>
                <w:lang w:val="it-IT"/>
              </w:rPr>
            </w:pPr>
            <w:r>
              <w:rPr>
                <w:rFonts w:ascii="Verdana" w:hAnsi="Verdana"/>
                <w:b/>
                <w:bCs/>
                <w:color w:val="000000"/>
                <w:sz w:val="20"/>
                <w:szCs w:val="20"/>
                <w:lang w:val="it-IT"/>
              </w:rPr>
              <w:t>Con riferimento alla valutazione del profilo di rischio della compagnia (par. 3 della relazione di presentazione), si osserva:</w:t>
            </w:r>
          </w:p>
          <w:p>
            <w:pPr>
              <w:spacing w:before="120"/>
              <w:jc w:val="both"/>
              <w:rPr>
                <w:rFonts w:ascii="Verdana" w:hAnsi="Verdana"/>
                <w:b/>
                <w:bCs/>
                <w:color w:val="000000"/>
                <w:sz w:val="20"/>
                <w:szCs w:val="20"/>
                <w:lang w:val="it-IT"/>
              </w:rPr>
            </w:pPr>
            <w:r>
              <w:rPr>
                <w:rFonts w:ascii="Verdana" w:hAnsi="Verdana"/>
                <w:b/>
                <w:bCs/>
                <w:color w:val="000000"/>
                <w:sz w:val="20"/>
                <w:szCs w:val="20"/>
                <w:lang w:val="it-IT"/>
              </w:rPr>
              <w:t>- l’utilizzo di parametri specifici è rimesso alla preventiva autorizzazione dell’Autorità ed al ricorrere dei presupposti previsti dalla legge, essendo generalmente rivolto a rispecchiare un profilo di rischio specifico dell’impresa. Per tale motivo non sembra che l’adozione di parametri specifici implichi un profilo di rischio più accentuato, essendo lo stesso semplicemente più calibrato rispetto alle caratteristiche dell’impresa;</w:t>
            </w:r>
          </w:p>
          <w:p>
            <w:pPr>
              <w:spacing w:before="120"/>
              <w:jc w:val="both"/>
              <w:rPr>
                <w:rFonts w:ascii="Verdana" w:hAnsi="Verdana"/>
                <w:b/>
                <w:bCs/>
                <w:color w:val="000000"/>
                <w:sz w:val="20"/>
                <w:szCs w:val="20"/>
                <w:lang w:val="it-IT"/>
              </w:rPr>
            </w:pPr>
            <w:r>
              <w:rPr>
                <w:rFonts w:ascii="Verdana" w:hAnsi="Verdana"/>
                <w:b/>
                <w:bCs/>
                <w:color w:val="000000"/>
                <w:sz w:val="20"/>
                <w:szCs w:val="20"/>
                <w:lang w:val="it-IT"/>
              </w:rPr>
              <w:t>- l’uso di derivati o attivi illiquidi non dovrebbe di per sé essere foriero di aumentare il profilo di rischio della compagnia, laddove il loro impiego sia marginale rispetto agli impieghi complessivi della compagnia;</w:t>
            </w:r>
          </w:p>
          <w:p>
            <w:pPr>
              <w:spacing w:before="120"/>
              <w:jc w:val="both"/>
              <w:rPr>
                <w:rFonts w:ascii="Verdana" w:hAnsi="Verdana"/>
                <w:b/>
                <w:bCs/>
                <w:color w:val="000000"/>
                <w:sz w:val="20"/>
                <w:szCs w:val="20"/>
                <w:lang w:val="it-IT"/>
              </w:rPr>
            </w:pPr>
            <w:r>
              <w:rPr>
                <w:rFonts w:ascii="Verdana" w:hAnsi="Verdana"/>
                <w:b/>
                <w:bCs/>
                <w:color w:val="000000"/>
                <w:sz w:val="20"/>
                <w:szCs w:val="20"/>
                <w:lang w:val="it-IT"/>
              </w:rPr>
              <w:t>- tra i fattori indicativi di un più contenuto profilo di rischio, si cita la distribuzione di prodotti standardizzati: si suggerisce di far riferimento ai prodotti non-complessi, in maniera simmetricamente a quanto indicato nei fattori di maggior rischio (nei quali si fa riferimento, appunto, ai prodotti complessi).</w:t>
            </w:r>
          </w:p>
          <w:p>
            <w:pPr>
              <w:spacing w:before="120"/>
              <w:jc w:val="center"/>
              <w:rPr>
                <w:rFonts w:ascii="Verdana" w:hAnsi="Verdana"/>
                <w:b/>
                <w:bCs/>
                <w:color w:val="000000"/>
                <w:sz w:val="20"/>
                <w:szCs w:val="20"/>
                <w:lang w:val="it-IT"/>
              </w:rPr>
            </w:pPr>
          </w:p>
        </w:tc>
      </w:tr>
      <w:tr>
        <w:tc>
          <w:tcPr>
            <w:tcW w:w="15039" w:type="dxa"/>
            <w:gridSpan w:val="4"/>
            <w:tcBorders>
              <w:left w:val="single" w:sz="4" w:space="0" w:color="auto"/>
              <w:right w:val="single" w:sz="4" w:space="0" w:color="auto"/>
            </w:tcBorders>
            <w:shd w:val="clear" w:color="auto" w:fill="17365D"/>
          </w:tcPr>
          <w:p>
            <w:pPr>
              <w:spacing w:before="120"/>
              <w:jc w:val="center"/>
              <w:rPr>
                <w:rFonts w:ascii="Verdana" w:hAnsi="Verdana"/>
                <w:b/>
                <w:bCs/>
                <w:color w:val="000000"/>
                <w:sz w:val="20"/>
                <w:szCs w:val="20"/>
                <w:lang w:val="it-IT"/>
              </w:rPr>
            </w:pPr>
          </w:p>
        </w:tc>
      </w:tr>
      <w:tr>
        <w:tc>
          <w:tcPr>
            <w:tcW w:w="1668" w:type="dxa"/>
            <w:gridSpan w:val="2"/>
            <w:shd w:val="clear" w:color="auto" w:fill="F2F2F2"/>
            <w:vAlign w:val="center"/>
          </w:tcPr>
          <w:p>
            <w:pPr>
              <w:spacing w:before="120"/>
              <w:ind w:left="-392" w:firstLine="392"/>
              <w:jc w:val="center"/>
              <w:rPr>
                <w:rFonts w:ascii="Verdana" w:hAnsi="Verdana"/>
                <w:b/>
                <w:bCs/>
                <w:color w:val="000000"/>
                <w:sz w:val="20"/>
                <w:szCs w:val="20"/>
                <w:lang w:val="it-IT"/>
              </w:rPr>
            </w:pPr>
            <w:r>
              <w:rPr>
                <w:rFonts w:ascii="Verdana" w:hAnsi="Verdana"/>
                <w:b/>
                <w:bCs/>
                <w:color w:val="000000"/>
                <w:sz w:val="20"/>
                <w:szCs w:val="20"/>
                <w:lang w:val="it-IT"/>
              </w:rPr>
              <w:t>Articolo</w:t>
            </w:r>
          </w:p>
        </w:tc>
        <w:tc>
          <w:tcPr>
            <w:tcW w:w="1701" w:type="dxa"/>
            <w:shd w:val="clear" w:color="auto" w:fill="F2F2F2"/>
            <w:vAlign w:val="center"/>
          </w:tcPr>
          <w:p>
            <w:pPr>
              <w:spacing w:before="120"/>
              <w:ind w:left="-392" w:firstLine="392"/>
              <w:jc w:val="center"/>
              <w:rPr>
                <w:rFonts w:ascii="Verdana" w:hAnsi="Verdana"/>
                <w:b/>
                <w:bCs/>
                <w:color w:val="000000"/>
                <w:sz w:val="20"/>
                <w:szCs w:val="20"/>
                <w:lang w:val="it-IT"/>
              </w:rPr>
            </w:pPr>
            <w:r>
              <w:rPr>
                <w:rFonts w:ascii="Verdana" w:hAnsi="Verdana"/>
                <w:b/>
                <w:bCs/>
                <w:color w:val="000000"/>
                <w:sz w:val="20"/>
                <w:szCs w:val="20"/>
                <w:lang w:val="it-IT"/>
              </w:rPr>
              <w:t>Comma</w:t>
            </w:r>
          </w:p>
        </w:tc>
        <w:tc>
          <w:tcPr>
            <w:tcW w:w="11670" w:type="dxa"/>
            <w:shd w:val="clear" w:color="auto" w:fill="F2F2F2"/>
            <w:vAlign w:val="center"/>
          </w:tcPr>
          <w:p>
            <w:pPr>
              <w:spacing w:before="120"/>
              <w:ind w:left="-392" w:firstLine="392"/>
              <w:jc w:val="center"/>
              <w:rPr>
                <w:rFonts w:ascii="Verdana" w:hAnsi="Verdana"/>
                <w:b/>
                <w:bCs/>
                <w:color w:val="000000"/>
                <w:sz w:val="20"/>
                <w:szCs w:val="20"/>
                <w:lang w:val="it-IT"/>
              </w:rPr>
            </w:pPr>
            <w:r>
              <w:rPr>
                <w:rFonts w:ascii="Verdana" w:hAnsi="Verdana"/>
                <w:b/>
                <w:bCs/>
                <w:color w:val="000000"/>
                <w:sz w:val="20"/>
                <w:szCs w:val="20"/>
                <w:lang w:val="it-IT"/>
              </w:rPr>
              <w:t>Osservazioni e proposte</w:t>
            </w:r>
          </w:p>
        </w:tc>
      </w:tr>
      <w:tr>
        <w:trPr>
          <w:trHeight w:val="432"/>
        </w:trP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tabs>
                <w:tab w:val="left" w:pos="34"/>
              </w:tabs>
              <w:ind w:left="34" w:hanging="34"/>
              <w:jc w:val="both"/>
              <w:rPr>
                <w:rFonts w:ascii="Verdana" w:hAnsi="Verdana"/>
                <w:i/>
                <w:color w:val="000000"/>
                <w:lang w:val="it-IT"/>
              </w:rPr>
            </w:pPr>
            <w:r>
              <w:rPr>
                <w:rFonts w:ascii="Verdana" w:hAnsi="Verdana"/>
                <w:i/>
                <w:color w:val="000000"/>
                <w:lang w:val="it-IT"/>
              </w:rPr>
              <w:t xml:space="preserve">2 </w:t>
            </w:r>
            <w:proofErr w:type="spellStart"/>
            <w:r>
              <w:rPr>
                <w:rFonts w:ascii="Verdana" w:hAnsi="Verdana"/>
                <w:i/>
                <w:color w:val="000000"/>
                <w:lang w:val="it-IT"/>
              </w:rPr>
              <w:t>let.z</w:t>
            </w:r>
            <w:proofErr w:type="spellEnd"/>
          </w:p>
        </w:tc>
        <w:tc>
          <w:tcPr>
            <w:tcW w:w="11670" w:type="dxa"/>
            <w:tcBorders>
              <w:top w:val="single" w:sz="4" w:space="0" w:color="auto"/>
              <w:left w:val="single" w:sz="4" w:space="0" w:color="auto"/>
              <w:bottom w:val="single" w:sz="4" w:space="0" w:color="auto"/>
              <w:right w:val="single" w:sz="4" w:space="0" w:color="auto"/>
            </w:tcBorders>
          </w:tcPr>
          <w:p>
            <w:pPr>
              <w:spacing w:before="120"/>
              <w:jc w:val="both"/>
              <w:rPr>
                <w:rFonts w:ascii="Verdana" w:hAnsi="Verdana"/>
                <w:bCs/>
                <w:color w:val="000000"/>
                <w:sz w:val="20"/>
                <w:szCs w:val="20"/>
                <w:highlight w:val="yellow"/>
                <w:lang w:val="it-IT"/>
              </w:rPr>
            </w:pPr>
            <w:r>
              <w:rPr>
                <w:rFonts w:ascii="Verdana" w:hAnsi="Verdana"/>
                <w:bCs/>
                <w:color w:val="000000"/>
                <w:sz w:val="20"/>
                <w:szCs w:val="20"/>
                <w:lang w:val="it-IT"/>
              </w:rPr>
              <w:t xml:space="preserve">Al punto z) si consiglia di precisare che l’interesse cui deve tendere la gestione sociale sia riferito anche agli altri </w:t>
            </w:r>
            <w:proofErr w:type="spellStart"/>
            <w:r>
              <w:rPr>
                <w:rFonts w:ascii="Verdana" w:hAnsi="Verdana"/>
                <w:bCs/>
                <w:color w:val="000000"/>
                <w:sz w:val="20"/>
                <w:szCs w:val="20"/>
                <w:lang w:val="it-IT"/>
              </w:rPr>
              <w:t>stakeholders</w:t>
            </w:r>
            <w:proofErr w:type="spellEnd"/>
            <w:r>
              <w:rPr>
                <w:rFonts w:ascii="Verdana" w:hAnsi="Verdana"/>
                <w:bCs/>
                <w:color w:val="000000"/>
                <w:sz w:val="20"/>
                <w:szCs w:val="20"/>
                <w:lang w:val="it-IT"/>
              </w:rPr>
              <w:t>, in primis gli azionisti.</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lang w:val="it-IT"/>
              </w:rPr>
            </w:pPr>
            <w:r>
              <w:rPr>
                <w:rFonts w:ascii="Verdana" w:hAnsi="Verdana"/>
                <w:lang w:val="it-IT"/>
              </w:rPr>
              <w:t>2</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highlight w:val="yellow"/>
                <w:lang w:val="it-IT"/>
              </w:rPr>
            </w:pPr>
            <w:r>
              <w:rPr>
                <w:rFonts w:ascii="Verdana" w:hAnsi="Verdana"/>
                <w:bCs/>
                <w:color w:val="000000"/>
                <w:sz w:val="20"/>
                <w:szCs w:val="20"/>
                <w:lang w:val="it-IT"/>
              </w:rPr>
              <w:t>Si suggerisce di chiarire che le attività di controllo qui menzionate siano tra loro alternative, dovendosi valutare il numero di attività di implementare sulla scorta della complessità ed alla portata effettiva dei rischi corsi dall’impresa.</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lang w:val="it-IT"/>
              </w:rPr>
            </w:pPr>
            <w:r>
              <w:rPr>
                <w:rFonts w:ascii="Verdana" w:hAnsi="Verdana"/>
                <w:lang w:val="it-IT"/>
              </w:rPr>
              <w:t>2</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highlight w:val="yellow"/>
                <w:lang w:val="it-IT"/>
              </w:rPr>
            </w:pPr>
            <w:r>
              <w:rPr>
                <w:rFonts w:ascii="Verdana" w:hAnsi="Verdana"/>
                <w:bCs/>
                <w:color w:val="000000"/>
                <w:sz w:val="20"/>
                <w:szCs w:val="20"/>
                <w:lang w:val="it-IT"/>
              </w:rPr>
              <w:t>Si suggerisce che l’informativa sulla situazione dei contratti assicurativi sia fornita “con cadenza regolare e adeguata” anziché “in maniera tempestiva”, al fine di evitare un inoltro automatico e disordinato delle informazioni.</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lang w:val="it-IT"/>
              </w:rPr>
            </w:pPr>
            <w:r>
              <w:rPr>
                <w:rFonts w:ascii="Verdana" w:hAnsi="Verdana"/>
                <w:lang w:val="it-IT"/>
              </w:rPr>
              <w:t>1</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Trattandosi di adempimento che dipende dal livello di cooperazione delle altre parti coinvolte, si suggerisce di sostituire il verbo “provvede” con la locuzione “si adopera per ottenere la formalizzazione…”.</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lastRenderedPageBreak/>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lang w:val="it-IT"/>
              </w:rPr>
            </w:pPr>
            <w:r>
              <w:rPr>
                <w:rFonts w:ascii="Verdana" w:hAnsi="Verdana"/>
                <w:lang w:val="it-IT"/>
              </w:rPr>
              <w:t xml:space="preserve">3 </w:t>
            </w:r>
            <w:proofErr w:type="spellStart"/>
            <w:r>
              <w:rPr>
                <w:rFonts w:ascii="Verdana" w:hAnsi="Verdana"/>
                <w:lang w:val="it-IT"/>
              </w:rPr>
              <w:t>let</w:t>
            </w:r>
            <w:proofErr w:type="spellEnd"/>
            <w:r>
              <w:rPr>
                <w:rFonts w:ascii="Verdana" w:hAnsi="Verdana"/>
                <w:lang w:val="it-IT"/>
              </w:rPr>
              <w:t>. b)</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Si chiede di chiarire in che modo gli accordi possano incoraggiare un’eccessiva assunzione di rischi (a carico dell’impresa, si immagina), considerato che l’insufficienza dei corrispettivi versati dall’impresa a fronte dei costi sostenuti dal fornitore, non può essere valutata dall’impresa.</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Para1"/>
              <w:numPr>
                <w:ilvl w:val="0"/>
                <w:numId w:val="0"/>
              </w:numPr>
              <w:rPr>
                <w:rFonts w:ascii="Verdana" w:hAnsi="Verdana"/>
                <w:sz w:val="22"/>
                <w:szCs w:val="22"/>
                <w:lang w:val="it-IT"/>
              </w:rPr>
            </w:pPr>
            <w:r>
              <w:rPr>
                <w:rFonts w:ascii="Verdana" w:hAnsi="Verdana"/>
                <w:sz w:val="22"/>
                <w:szCs w:val="22"/>
                <w:lang w:val="it-IT"/>
              </w:rPr>
              <w:t>1</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Si consiglia di eliminare l’ultima parte della disposizione “e che, in ogni caso, non incentivino condotte contrarie all’obbligo di comportarsi secondo correttezza nei confronti degli assicurati”. Talune forme di remunerazione basate sul volume di produzione realizzato (</w:t>
            </w:r>
            <w:proofErr w:type="spellStart"/>
            <w:r>
              <w:rPr>
                <w:rFonts w:ascii="Verdana" w:hAnsi="Verdana"/>
                <w:bCs/>
                <w:color w:val="000000"/>
                <w:sz w:val="20"/>
                <w:szCs w:val="20"/>
                <w:lang w:val="it-IT"/>
              </w:rPr>
              <w:t>rappel</w:t>
            </w:r>
            <w:proofErr w:type="spellEnd"/>
            <w:r>
              <w:rPr>
                <w:rFonts w:ascii="Verdana" w:hAnsi="Verdana"/>
                <w:bCs/>
                <w:color w:val="000000"/>
                <w:sz w:val="20"/>
                <w:szCs w:val="20"/>
                <w:lang w:val="it-IT"/>
              </w:rPr>
              <w:t xml:space="preserve"> o sovra-commissioni) sono di per sé idonee a creare un  incentivo alla vendita, che non necessariamente induce a comportarsi in maniera confliggente con l’interesse del cliente. Il risultato perseguito può quindi più efficacemente essere raggiunto dall’impresa mediante un’efficace attività di controllo sull’operato delle reti.</w:t>
            </w:r>
          </w:p>
          <w:p>
            <w:pPr>
              <w:spacing w:before="120"/>
              <w:rPr>
                <w:rFonts w:ascii="Verdana" w:hAnsi="Verdana"/>
                <w:bCs/>
                <w:color w:val="000000"/>
                <w:sz w:val="20"/>
                <w:szCs w:val="20"/>
                <w:lang w:val="it-IT"/>
              </w:rPr>
            </w:pPr>
            <w:r>
              <w:rPr>
                <w:rFonts w:ascii="Verdana" w:hAnsi="Verdana"/>
                <w:bCs/>
                <w:color w:val="000000"/>
                <w:sz w:val="20"/>
                <w:szCs w:val="20"/>
                <w:lang w:val="it-IT"/>
              </w:rPr>
              <w:t xml:space="preserve">Si osserva peraltro come né gli Atti Delegati né gli orientamenti </w:t>
            </w:r>
            <w:proofErr w:type="spellStart"/>
            <w:r>
              <w:rPr>
                <w:rFonts w:ascii="Verdana" w:hAnsi="Verdana"/>
                <w:bCs/>
                <w:color w:val="000000"/>
                <w:sz w:val="20"/>
                <w:szCs w:val="20"/>
                <w:lang w:val="it-IT"/>
              </w:rPr>
              <w:t>EIOPA</w:t>
            </w:r>
            <w:proofErr w:type="spellEnd"/>
            <w:r>
              <w:rPr>
                <w:rFonts w:ascii="Verdana" w:hAnsi="Verdana"/>
                <w:bCs/>
                <w:color w:val="000000"/>
                <w:sz w:val="20"/>
                <w:szCs w:val="20"/>
                <w:lang w:val="it-IT"/>
              </w:rPr>
              <w:t xml:space="preserve"> contengano una specifica menzione della remunerazione degli intermediari, apparendo le politiche di remunerazione limitate allo staff ed ai fornitori della compagnia.</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Para1"/>
              <w:numPr>
                <w:ilvl w:val="0"/>
                <w:numId w:val="0"/>
              </w:numPr>
              <w:rPr>
                <w:rFonts w:ascii="Verdana" w:hAnsi="Verdana"/>
                <w:sz w:val="22"/>
                <w:szCs w:val="22"/>
                <w:lang w:val="it-IT"/>
              </w:rPr>
            </w:pPr>
            <w:r>
              <w:rPr>
                <w:rFonts w:ascii="Verdana" w:hAnsi="Verdana"/>
                <w:sz w:val="22"/>
                <w:szCs w:val="22"/>
                <w:lang w:val="it-IT"/>
              </w:rPr>
              <w:t>2</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 xml:space="preserve">Si prega di confermare che la disposizione è limitata alle forme di remunerazione connesse ai risultati del portafoglio (profit </w:t>
            </w:r>
            <w:proofErr w:type="spellStart"/>
            <w:r>
              <w:rPr>
                <w:rFonts w:ascii="Verdana" w:hAnsi="Verdana"/>
                <w:bCs/>
                <w:color w:val="000000"/>
                <w:sz w:val="20"/>
                <w:szCs w:val="20"/>
                <w:lang w:val="it-IT"/>
              </w:rPr>
              <w:t>sharing</w:t>
            </w:r>
            <w:proofErr w:type="spellEnd"/>
            <w:r>
              <w:rPr>
                <w:rFonts w:ascii="Verdana" w:hAnsi="Verdana"/>
                <w:bCs/>
                <w:color w:val="000000"/>
                <w:sz w:val="20"/>
                <w:szCs w:val="20"/>
                <w:lang w:val="it-IT"/>
              </w:rPr>
              <w:t>), non potendo trovare applicazione rispetto al pagamento ordinario di provvigioni (per definizione connesso al solo piazzamento del prodotto) ed alle sovra-provvigioni.</w:t>
            </w:r>
          </w:p>
          <w:p>
            <w:pPr>
              <w:spacing w:before="120"/>
              <w:rPr>
                <w:rFonts w:ascii="Verdana" w:hAnsi="Verdana"/>
                <w:bCs/>
                <w:color w:val="000000"/>
                <w:sz w:val="20"/>
                <w:szCs w:val="20"/>
                <w:lang w:val="it-IT"/>
              </w:rPr>
            </w:pPr>
            <w:r>
              <w:rPr>
                <w:rFonts w:ascii="Verdana" w:hAnsi="Verdana"/>
                <w:bCs/>
                <w:color w:val="000000"/>
                <w:sz w:val="20"/>
                <w:szCs w:val="20"/>
                <w:lang w:val="it-IT"/>
              </w:rPr>
              <w:t xml:space="preserve">Si chiede peraltro di precisare se il </w:t>
            </w:r>
            <w:proofErr w:type="spellStart"/>
            <w:r>
              <w:rPr>
                <w:rFonts w:ascii="Verdana" w:hAnsi="Verdana"/>
                <w:bCs/>
                <w:color w:val="000000"/>
                <w:sz w:val="20"/>
                <w:szCs w:val="20"/>
                <w:lang w:val="it-IT"/>
              </w:rPr>
              <w:t>pre</w:t>
            </w:r>
            <w:proofErr w:type="spellEnd"/>
            <w:r>
              <w:rPr>
                <w:rFonts w:ascii="Verdana" w:hAnsi="Verdana"/>
                <w:bCs/>
                <w:color w:val="000000"/>
                <w:sz w:val="20"/>
                <w:szCs w:val="20"/>
                <w:lang w:val="it-IT"/>
              </w:rPr>
              <w:t>-conto delle provvigioni sia compatibile con la necessità di evitare incentivi ad un’eccessiva esposizione al rischio.</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Para1"/>
              <w:numPr>
                <w:ilvl w:val="0"/>
                <w:numId w:val="0"/>
              </w:numPr>
              <w:rPr>
                <w:rFonts w:ascii="Verdana" w:hAnsi="Verdana"/>
                <w:sz w:val="22"/>
                <w:szCs w:val="22"/>
                <w:lang w:val="it-IT"/>
              </w:rPr>
            </w:pPr>
            <w:r>
              <w:rPr>
                <w:rFonts w:ascii="Verdana" w:hAnsi="Verdana"/>
                <w:sz w:val="22"/>
                <w:szCs w:val="22"/>
                <w:lang w:val="it-IT"/>
              </w:rPr>
              <w:t>2</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 xml:space="preserve">Si chiede di precisare se l’introduzione di uno </w:t>
            </w:r>
            <w:proofErr w:type="spellStart"/>
            <w:r>
              <w:rPr>
                <w:rFonts w:ascii="Verdana" w:hAnsi="Verdana"/>
                <w:bCs/>
                <w:color w:val="000000"/>
                <w:sz w:val="20"/>
                <w:szCs w:val="20"/>
                <w:lang w:val="it-IT"/>
              </w:rPr>
              <w:t>SLA</w:t>
            </w:r>
            <w:proofErr w:type="spellEnd"/>
            <w:r>
              <w:rPr>
                <w:rFonts w:ascii="Verdana" w:hAnsi="Verdana"/>
                <w:bCs/>
                <w:color w:val="000000"/>
                <w:sz w:val="20"/>
                <w:szCs w:val="20"/>
                <w:lang w:val="it-IT"/>
              </w:rPr>
              <w:t xml:space="preserve"> e di un correlato meccanismo di penali che il fornitore debba corrispondere in caso di disservizio, siano sufficienti ad evitare il paventato risultato di un incentivo ad un’eccessiva esposizione al rischio.</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sz w:val="22"/>
                <w:szCs w:val="22"/>
                <w:lang w:val="it-IT"/>
              </w:rPr>
            </w:pP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In conformità con l’orientamento 61 espresso dall’</w:t>
            </w:r>
            <w:proofErr w:type="spellStart"/>
            <w:r>
              <w:rPr>
                <w:rFonts w:ascii="Verdana" w:hAnsi="Verdana"/>
                <w:bCs/>
                <w:color w:val="000000"/>
                <w:sz w:val="20"/>
                <w:szCs w:val="20"/>
                <w:lang w:val="it-IT"/>
              </w:rPr>
              <w:t>EIOPA</w:t>
            </w:r>
            <w:proofErr w:type="spellEnd"/>
            <w:r>
              <w:rPr>
                <w:rFonts w:ascii="Verdana" w:hAnsi="Verdana"/>
                <w:bCs/>
                <w:color w:val="000000"/>
                <w:sz w:val="20"/>
                <w:szCs w:val="20"/>
                <w:lang w:val="it-IT"/>
              </w:rPr>
              <w:t xml:space="preserve"> nelle line guida del 2015, si suggerisce di introdurre un quarto comma per specificare che, anche in deroga al divieto di cui all’attuale secondo comma, l’attribuzione ad un intermediario del potere di sottoscrivere affari o regolare sinistri per conto di un assicuratore non costituisce attività di esternalizzazione, pur applicandosi i medesimi requisiti.</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t>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sz w:val="22"/>
                <w:szCs w:val="22"/>
                <w:lang w:val="it-IT"/>
              </w:rPr>
            </w:pPr>
            <w:r>
              <w:rPr>
                <w:rFonts w:ascii="Verdana" w:hAnsi="Verdana"/>
                <w:sz w:val="22"/>
                <w:szCs w:val="22"/>
                <w:lang w:val="it-IT"/>
              </w:rPr>
              <w:t xml:space="preserve">Punto iii) del riquadro contenente le attese di </w:t>
            </w:r>
            <w:proofErr w:type="spellStart"/>
            <w:r>
              <w:rPr>
                <w:rFonts w:ascii="Verdana" w:hAnsi="Verdana"/>
                <w:sz w:val="22"/>
                <w:szCs w:val="22"/>
                <w:lang w:val="it-IT"/>
              </w:rPr>
              <w:t>IVASS</w:t>
            </w:r>
            <w:proofErr w:type="spellEnd"/>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Con riferimento alle imprese di minori dimensioni o complessità non appartenenti ad un gruppo, si segnala come l’affidamento della funzione di revisione interna sia in realtà idoneo a garantire una maggiore imparzialità ed efficacia dei controlli, soventemente pregiudicata nelle realtà di minori dimensioni.</w:t>
            </w:r>
          </w:p>
        </w:tc>
      </w:tr>
      <w:tr>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120"/>
              <w:rPr>
                <w:rFonts w:ascii="Verdana" w:hAnsi="Verdana"/>
                <w:b/>
                <w:bCs/>
                <w:color w:val="000000"/>
                <w:sz w:val="20"/>
                <w:szCs w:val="20"/>
                <w:lang w:val="it-IT"/>
              </w:rPr>
            </w:pPr>
            <w:r>
              <w:rPr>
                <w:rFonts w:ascii="Verdana" w:hAnsi="Verdana"/>
                <w:b/>
                <w:bCs/>
                <w:color w:val="000000"/>
                <w:sz w:val="20"/>
                <w:szCs w:val="20"/>
                <w:lang w:val="it-IT"/>
              </w:rPr>
              <w:lastRenderedPageBreak/>
              <w:t>65</w:t>
            </w:r>
          </w:p>
        </w:tc>
        <w:tc>
          <w:tcPr>
            <w:tcW w:w="1701" w:type="dxa"/>
            <w:tcBorders>
              <w:top w:val="single" w:sz="4" w:space="0" w:color="auto"/>
              <w:left w:val="single" w:sz="4" w:space="0" w:color="auto"/>
              <w:bottom w:val="single" w:sz="4" w:space="0" w:color="auto"/>
              <w:right w:val="single" w:sz="4" w:space="0" w:color="auto"/>
            </w:tcBorders>
            <w:shd w:val="clear" w:color="auto" w:fill="auto"/>
          </w:tcPr>
          <w:p>
            <w:pPr>
              <w:pStyle w:val="CommentText"/>
              <w:rPr>
                <w:rFonts w:ascii="Verdana" w:hAnsi="Verdana"/>
                <w:lang w:val="it-IT"/>
              </w:rPr>
            </w:pPr>
            <w:r>
              <w:rPr>
                <w:rFonts w:ascii="Verdana" w:hAnsi="Verdana"/>
                <w:lang w:val="it-IT"/>
              </w:rPr>
              <w:t>2</w:t>
            </w:r>
          </w:p>
        </w:tc>
        <w:tc>
          <w:tcPr>
            <w:tcW w:w="11670" w:type="dxa"/>
            <w:tcBorders>
              <w:top w:val="single" w:sz="4" w:space="0" w:color="auto"/>
              <w:left w:val="single" w:sz="4" w:space="0" w:color="auto"/>
              <w:bottom w:val="single" w:sz="4" w:space="0" w:color="auto"/>
              <w:right w:val="single" w:sz="4" w:space="0" w:color="auto"/>
            </w:tcBorders>
          </w:tcPr>
          <w:p>
            <w:pPr>
              <w:spacing w:before="120"/>
              <w:rPr>
                <w:rFonts w:ascii="Verdana" w:hAnsi="Verdana"/>
                <w:bCs/>
                <w:color w:val="000000"/>
                <w:sz w:val="20"/>
                <w:szCs w:val="20"/>
                <w:lang w:val="it-IT"/>
              </w:rPr>
            </w:pPr>
            <w:r>
              <w:rPr>
                <w:rFonts w:ascii="Verdana" w:hAnsi="Verdana"/>
                <w:bCs/>
                <w:color w:val="000000"/>
                <w:sz w:val="20"/>
                <w:szCs w:val="20"/>
                <w:lang w:val="it-IT"/>
              </w:rPr>
              <w:t>Si suggerisce di sostituire il riferimento alla necessità di “monitorare costantemente” con un più realistico monitoraggio “con cadenza adeguata”.</w:t>
            </w:r>
          </w:p>
        </w:tc>
      </w:tr>
    </w:tbl>
    <w:p>
      <w:pPr>
        <w:spacing w:before="120"/>
        <w:jc w:val="both"/>
        <w:rPr>
          <w:rFonts w:ascii="Verdana" w:hAnsi="Verdana"/>
          <w:sz w:val="20"/>
          <w:szCs w:val="20"/>
          <w:lang w:val="it-IT"/>
        </w:rPr>
      </w:pPr>
    </w:p>
    <w:p>
      <w:pPr>
        <w:spacing w:before="120"/>
        <w:jc w:val="both"/>
        <w:rPr>
          <w:rFonts w:ascii="Verdana" w:hAnsi="Verdana"/>
          <w:sz w:val="20"/>
          <w:szCs w:val="20"/>
          <w:lang w:val="it-IT"/>
        </w:rPr>
      </w:pPr>
    </w:p>
    <w:p>
      <w:pPr>
        <w:spacing w:before="120"/>
        <w:jc w:val="both"/>
        <w:rPr>
          <w:rFonts w:ascii="Verdana" w:hAnsi="Verdana"/>
          <w:sz w:val="20"/>
          <w:szCs w:val="20"/>
          <w:lang w:val="it-IT"/>
        </w:rPr>
      </w:pPr>
    </w:p>
    <w:sectPr>
      <w:headerReference w:type="even" r:id="rId8"/>
      <w:headerReference w:type="default" r:id="rId9"/>
      <w:footerReference w:type="even" r:id="rId10"/>
      <w:footerReference w:type="default" r:id="rId11"/>
      <w:headerReference w:type="first" r:id="rId12"/>
      <w:footerReference w:type="first" r:id="rId13"/>
      <w:pgSz w:w="16838" w:h="11906" w:orient="landscape"/>
      <w:pgMar w:top="2259" w:right="1418"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Frutiger LT Com 45 Ligh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noProof/>
        <w:lang w:val="it-IT" w:eastAsia="it-IT"/>
      </w:rPr>
      <w:drawing>
        <wp:inline distT="0" distB="0" distL="0" distR="0">
          <wp:extent cx="2595880" cy="840740"/>
          <wp:effectExtent l="0" t="0" r="0" b="0"/>
          <wp:docPr id="1" name="Immagine 1" descr="D:\dati\profili\IV50198\UserTemp\OutlookTemp\ivass-marchio rid-2016-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i\profili\IV50198\UserTemp\OutlookTemp\ivass-marchio rid-2016-bl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880" cy="8407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422.25pt" o:bullet="t">
        <v:imagedata r:id="rId1" o:title="clip_image001"/>
      </v:shape>
    </w:pict>
  </w:numPicBullet>
  <w:abstractNum w:abstractNumId="0">
    <w:nsid w:val="07C54606"/>
    <w:multiLevelType w:val="hybridMultilevel"/>
    <w:tmpl w:val="390CCB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8A83616"/>
    <w:multiLevelType w:val="multilevel"/>
    <w:tmpl w:val="79D67176"/>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9CD3D80"/>
    <w:multiLevelType w:val="hybridMultilevel"/>
    <w:tmpl w:val="63042926"/>
    <w:lvl w:ilvl="0" w:tplc="B53AFDF0">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85F61"/>
    <w:multiLevelType w:val="hybridMultilevel"/>
    <w:tmpl w:val="8F4E1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711CBC"/>
    <w:multiLevelType w:val="hybridMultilevel"/>
    <w:tmpl w:val="3D880146"/>
    <w:lvl w:ilvl="0" w:tplc="A0A2EDFE">
      <w:start w:val="1"/>
      <w:numFmt w:val="bullet"/>
      <w:pStyle w:val="ContinuousSquareBullet"/>
      <w:lvlText w:val="•"/>
      <w:lvlJc w:val="left"/>
      <w:pPr>
        <w:tabs>
          <w:tab w:val="num" w:pos="720"/>
        </w:tabs>
        <w:ind w:left="720" w:hanging="360"/>
      </w:pPr>
      <w:rPr>
        <w:rFonts w:ascii="Times New Roman" w:hAnsi="Times New Roman" w:hint="default"/>
      </w:rPr>
    </w:lvl>
    <w:lvl w:ilvl="1" w:tplc="BC92A790">
      <w:start w:val="139"/>
      <w:numFmt w:val="bullet"/>
      <w:lvlText w:val=""/>
      <w:lvlJc w:val="left"/>
      <w:pPr>
        <w:tabs>
          <w:tab w:val="num" w:pos="1440"/>
        </w:tabs>
        <w:ind w:left="1440" w:hanging="360"/>
      </w:pPr>
      <w:rPr>
        <w:rFonts w:ascii="Wingdings" w:hAnsi="Wingdings" w:hint="default"/>
      </w:rPr>
    </w:lvl>
    <w:lvl w:ilvl="2" w:tplc="BC6E7100" w:tentative="1">
      <w:start w:val="1"/>
      <w:numFmt w:val="bullet"/>
      <w:lvlText w:val="•"/>
      <w:lvlJc w:val="left"/>
      <w:pPr>
        <w:tabs>
          <w:tab w:val="num" w:pos="2160"/>
        </w:tabs>
        <w:ind w:left="2160" w:hanging="360"/>
      </w:pPr>
      <w:rPr>
        <w:rFonts w:ascii="Times New Roman" w:hAnsi="Times New Roman" w:hint="default"/>
      </w:rPr>
    </w:lvl>
    <w:lvl w:ilvl="3" w:tplc="97DA24E0" w:tentative="1">
      <w:start w:val="1"/>
      <w:numFmt w:val="bullet"/>
      <w:lvlText w:val="•"/>
      <w:lvlJc w:val="left"/>
      <w:pPr>
        <w:tabs>
          <w:tab w:val="num" w:pos="2880"/>
        </w:tabs>
        <w:ind w:left="2880" w:hanging="360"/>
      </w:pPr>
      <w:rPr>
        <w:rFonts w:ascii="Times New Roman" w:hAnsi="Times New Roman" w:hint="default"/>
      </w:rPr>
    </w:lvl>
    <w:lvl w:ilvl="4" w:tplc="17F0A18E" w:tentative="1">
      <w:start w:val="1"/>
      <w:numFmt w:val="bullet"/>
      <w:lvlText w:val="•"/>
      <w:lvlJc w:val="left"/>
      <w:pPr>
        <w:tabs>
          <w:tab w:val="num" w:pos="3600"/>
        </w:tabs>
        <w:ind w:left="3600" w:hanging="360"/>
      </w:pPr>
      <w:rPr>
        <w:rFonts w:ascii="Times New Roman" w:hAnsi="Times New Roman" w:hint="default"/>
      </w:rPr>
    </w:lvl>
    <w:lvl w:ilvl="5" w:tplc="6948859E" w:tentative="1">
      <w:start w:val="1"/>
      <w:numFmt w:val="bullet"/>
      <w:lvlText w:val="•"/>
      <w:lvlJc w:val="left"/>
      <w:pPr>
        <w:tabs>
          <w:tab w:val="num" w:pos="4320"/>
        </w:tabs>
        <w:ind w:left="4320" w:hanging="360"/>
      </w:pPr>
      <w:rPr>
        <w:rFonts w:ascii="Times New Roman" w:hAnsi="Times New Roman" w:hint="default"/>
      </w:rPr>
    </w:lvl>
    <w:lvl w:ilvl="6" w:tplc="780ABA74" w:tentative="1">
      <w:start w:val="1"/>
      <w:numFmt w:val="bullet"/>
      <w:lvlText w:val="•"/>
      <w:lvlJc w:val="left"/>
      <w:pPr>
        <w:tabs>
          <w:tab w:val="num" w:pos="5040"/>
        </w:tabs>
        <w:ind w:left="5040" w:hanging="360"/>
      </w:pPr>
      <w:rPr>
        <w:rFonts w:ascii="Times New Roman" w:hAnsi="Times New Roman" w:hint="default"/>
      </w:rPr>
    </w:lvl>
    <w:lvl w:ilvl="7" w:tplc="8EF00816" w:tentative="1">
      <w:start w:val="1"/>
      <w:numFmt w:val="bullet"/>
      <w:lvlText w:val="•"/>
      <w:lvlJc w:val="left"/>
      <w:pPr>
        <w:tabs>
          <w:tab w:val="num" w:pos="5760"/>
        </w:tabs>
        <w:ind w:left="5760" w:hanging="360"/>
      </w:pPr>
      <w:rPr>
        <w:rFonts w:ascii="Times New Roman" w:hAnsi="Times New Roman" w:hint="default"/>
      </w:rPr>
    </w:lvl>
    <w:lvl w:ilvl="8" w:tplc="AA448C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9B4D4F"/>
    <w:multiLevelType w:val="hybridMultilevel"/>
    <w:tmpl w:val="390CCB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64D4C31"/>
    <w:multiLevelType w:val="multilevel"/>
    <w:tmpl w:val="3AF078A6"/>
    <w:styleLink w:val="Decision"/>
    <w:lvl w:ilvl="0">
      <w:start w:val="1"/>
      <w:numFmt w:val="decimal"/>
      <w:pStyle w:val="Titles"/>
      <w:suff w:val="space"/>
      <w:lvlText w:val="Title %1"/>
      <w:lvlJc w:val="left"/>
      <w:pPr>
        <w:ind w:left="0" w:firstLine="0"/>
      </w:pPr>
      <w:rPr>
        <w:rFonts w:hint="default"/>
      </w:rPr>
    </w:lvl>
    <w:lvl w:ilvl="1">
      <w:start w:val="1"/>
      <w:numFmt w:val="decimal"/>
      <w:pStyle w:val="Chapter"/>
      <w:suff w:val="space"/>
      <w:lvlText w:val="Chapter %2"/>
      <w:lvlJc w:val="left"/>
      <w:pPr>
        <w:ind w:left="0" w:firstLine="0"/>
      </w:pPr>
      <w:rPr>
        <w:rFonts w:hint="default"/>
        <w:sz w:val="24"/>
      </w:rPr>
    </w:lvl>
    <w:lvl w:ilvl="2">
      <w:start w:val="1"/>
      <w:numFmt w:val="decimal"/>
      <w:pStyle w:val="Article"/>
      <w:suff w:val="space"/>
      <w:lvlText w:val="Article %3"/>
      <w:lvlJc w:val="left"/>
      <w:pPr>
        <w:ind w:left="0" w:firstLine="0"/>
      </w:pPr>
      <w:rPr>
        <w:rFonts w:hint="default"/>
      </w:rPr>
    </w:lvl>
    <w:lvl w:ilvl="3">
      <w:start w:val="1"/>
      <w:numFmt w:val="decimal"/>
      <w:pStyle w:val="Para1"/>
      <w:lvlText w:val="%4."/>
      <w:lvlJc w:val="left"/>
      <w:pPr>
        <w:tabs>
          <w:tab w:val="num" w:pos="720"/>
        </w:tabs>
        <w:ind w:left="720" w:hanging="720"/>
      </w:pPr>
      <w:rPr>
        <w:rFonts w:hint="default"/>
      </w:rPr>
    </w:lvl>
    <w:lvl w:ilvl="4">
      <w:start w:val="1"/>
      <w:numFmt w:val="lowerLetter"/>
      <w:pStyle w:val="Sub-paraa"/>
      <w:lvlText w:val="(%5)"/>
      <w:lvlJc w:val="left"/>
      <w:pPr>
        <w:tabs>
          <w:tab w:val="num" w:pos="1440"/>
        </w:tabs>
        <w:ind w:left="1440" w:hanging="720"/>
      </w:pPr>
      <w:rPr>
        <w:rFonts w:hint="default"/>
      </w:rPr>
    </w:lvl>
    <w:lvl w:ilvl="5">
      <w:start w:val="1"/>
      <w:numFmt w:val="lowerRoman"/>
      <w:pStyle w:val="Sub-parai"/>
      <w:lvlText w:val="(%6)"/>
      <w:lvlJc w:val="left"/>
      <w:pPr>
        <w:tabs>
          <w:tab w:val="num" w:pos="2160"/>
        </w:tabs>
        <w:ind w:left="2160" w:hanging="72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1BBE02F9"/>
    <w:multiLevelType w:val="hybridMultilevel"/>
    <w:tmpl w:val="8CC863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1BDB5C2F"/>
    <w:multiLevelType w:val="hybridMultilevel"/>
    <w:tmpl w:val="62F490D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187D3B"/>
    <w:multiLevelType w:val="hybridMultilevel"/>
    <w:tmpl w:val="41360ECC"/>
    <w:lvl w:ilvl="0" w:tplc="7BE2020E">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3BD419B"/>
    <w:multiLevelType w:val="multilevel"/>
    <w:tmpl w:val="A89E3C18"/>
    <w:lvl w:ilvl="0">
      <w:start w:val="1"/>
      <w:numFmt w:val="bullet"/>
      <w:lvlText w:val=""/>
      <w:lvlJc w:val="left"/>
      <w:pPr>
        <w:tabs>
          <w:tab w:val="num" w:pos="360"/>
        </w:tabs>
        <w:ind w:left="360" w:hanging="360"/>
      </w:pPr>
      <w:rPr>
        <w:rFonts w:ascii="Wingdings" w:hAnsi="Wingdings" w:hint="default"/>
        <w:sz w:val="20"/>
      </w:rPr>
    </w:lvl>
    <w:lvl w:ilvl="1">
      <w:start w:val="1"/>
      <w:numFmt w:val="bullet"/>
      <w:pStyle w:val="Subbulet"/>
      <w:lvlText w:val=""/>
      <w:lvlJc w:val="left"/>
      <w:pPr>
        <w:tabs>
          <w:tab w:val="num" w:pos="720"/>
        </w:tabs>
        <w:ind w:left="720" w:hanging="360"/>
      </w:pPr>
      <w:rPr>
        <w:rFonts w:ascii="Wingdings" w:hAnsi="Wingdings" w:hint="default"/>
        <w:color w:val="auto"/>
        <w:sz w:val="20"/>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11">
    <w:nsid w:val="255C7621"/>
    <w:multiLevelType w:val="multilevel"/>
    <w:tmpl w:val="4DCE6238"/>
    <w:lvl w:ilvl="0">
      <w:start w:val="1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29600BDA"/>
    <w:multiLevelType w:val="hybridMultilevel"/>
    <w:tmpl w:val="CF5EF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263CF"/>
    <w:multiLevelType w:val="multilevel"/>
    <w:tmpl w:val="3AF078A6"/>
    <w:numStyleLink w:val="Decision"/>
  </w:abstractNum>
  <w:abstractNum w:abstractNumId="15">
    <w:nsid w:val="2CBB33D7"/>
    <w:multiLevelType w:val="hybridMultilevel"/>
    <w:tmpl w:val="05F6FAD4"/>
    <w:lvl w:ilvl="0" w:tplc="04090017">
      <w:start w:val="1"/>
      <w:numFmt w:val="lowerLetter"/>
      <w:lvlText w:val="%1)"/>
      <w:lvlJc w:val="left"/>
      <w:pPr>
        <w:tabs>
          <w:tab w:val="num" w:pos="900"/>
        </w:tabs>
        <w:ind w:left="900" w:hanging="360"/>
      </w:pPr>
      <w:rPr>
        <w:rFonts w:hint="default"/>
      </w:rPr>
    </w:lvl>
    <w:lvl w:ilvl="1" w:tplc="218A0A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5501E7"/>
    <w:multiLevelType w:val="hybridMultilevel"/>
    <w:tmpl w:val="6BB68CAC"/>
    <w:lvl w:ilvl="0" w:tplc="79C02406">
      <w:start w:val="1"/>
      <w:numFmt w:val="bullet"/>
      <w:lvlText w:val="-"/>
      <w:lvlJc w:val="left"/>
      <w:pPr>
        <w:tabs>
          <w:tab w:val="num" w:pos="720"/>
        </w:tabs>
        <w:ind w:left="72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10A767D"/>
    <w:multiLevelType w:val="multilevel"/>
    <w:tmpl w:val="E27A13A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35A11729"/>
    <w:multiLevelType w:val="hybridMultilevel"/>
    <w:tmpl w:val="7166E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EC7A05"/>
    <w:multiLevelType w:val="multilevel"/>
    <w:tmpl w:val="4C5A7D54"/>
    <w:lvl w:ilvl="0">
      <w:start w:val="7"/>
      <w:numFmt w:val="decimal"/>
      <w:lvlText w:val="%1."/>
      <w:lvlJc w:val="left"/>
      <w:pPr>
        <w:tabs>
          <w:tab w:val="num" w:pos="450"/>
        </w:tabs>
        <w:ind w:left="450" w:hanging="45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3D3969F8"/>
    <w:multiLevelType w:val="hybridMultilevel"/>
    <w:tmpl w:val="B0FADA60"/>
    <w:lvl w:ilvl="0" w:tplc="A8CE68CC">
      <w:numFmt w:val="bullet"/>
      <w:lvlText w:val="-"/>
      <w:lvlJc w:val="left"/>
      <w:pPr>
        <w:ind w:left="720" w:hanging="360"/>
      </w:pPr>
      <w:rPr>
        <w:rFonts w:ascii="Cambria" w:eastAsia="Times New Roman" w:hAnsi="Cambri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40566C5E"/>
    <w:multiLevelType w:val="hybridMultilevel"/>
    <w:tmpl w:val="48C62F42"/>
    <w:lvl w:ilvl="0" w:tplc="A594C0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1F541A"/>
    <w:multiLevelType w:val="multilevel"/>
    <w:tmpl w:val="6582C414"/>
    <w:lvl w:ilvl="0">
      <w:start w:val="1"/>
      <w:numFmt w:val="decimal"/>
      <w:lvlText w:val="%1."/>
      <w:lvlJc w:val="left"/>
      <w:pPr>
        <w:tabs>
          <w:tab w:val="num" w:pos="1134"/>
        </w:tabs>
        <w:ind w:left="1134" w:hanging="1134"/>
      </w:pPr>
      <w:rPr>
        <w:rFonts w:cs="Times New Roman" w:hint="default"/>
        <w:color w:val="FFFFFF"/>
      </w:rPr>
    </w:lvl>
    <w:lvl w:ilvl="1">
      <w:start w:val="1"/>
      <w:numFmt w:val="decimal"/>
      <w:pStyle w:val="QISTextCharCharCharCharCharCharCharCharCharCharCharCharChar1CharChar"/>
      <w:lvlText w:val="1.%2"/>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44261A85"/>
    <w:multiLevelType w:val="hybridMultilevel"/>
    <w:tmpl w:val="9C3C1076"/>
    <w:lvl w:ilvl="0" w:tplc="0F768706">
      <w:start w:val="1"/>
      <w:numFmt w:val="decimal"/>
      <w:pStyle w:val="04aNumeration"/>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nsid w:val="47193E34"/>
    <w:multiLevelType w:val="multilevel"/>
    <w:tmpl w:val="83082EF8"/>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Verdana" w:hAnsi="Verdana" w:hint="default"/>
        <w:sz w:val="22"/>
        <w:szCs w:val="22"/>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47D04C22"/>
    <w:multiLevelType w:val="multilevel"/>
    <w:tmpl w:val="1B142FE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79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559C7E7A"/>
    <w:multiLevelType w:val="multilevel"/>
    <w:tmpl w:val="55B4759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565B2E0B"/>
    <w:multiLevelType w:val="multilevel"/>
    <w:tmpl w:val="5242077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56E14291"/>
    <w:multiLevelType w:val="hybridMultilevel"/>
    <w:tmpl w:val="390CCB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5A4B34A2"/>
    <w:multiLevelType w:val="multilevel"/>
    <w:tmpl w:val="EABE2EEE"/>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5B3F593C"/>
    <w:multiLevelType w:val="hybridMultilevel"/>
    <w:tmpl w:val="4FC6F1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E31570F"/>
    <w:multiLevelType w:val="hybridMultilevel"/>
    <w:tmpl w:val="66F079C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2">
    <w:nsid w:val="6663289D"/>
    <w:multiLevelType w:val="hybridMultilevel"/>
    <w:tmpl w:val="8A44B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9D124FC"/>
    <w:multiLevelType w:val="hybridMultilevel"/>
    <w:tmpl w:val="2C0C451C"/>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7F86056A"/>
    <w:multiLevelType w:val="hybridMultilevel"/>
    <w:tmpl w:val="E6FE4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21"/>
  </w:num>
  <w:num w:numId="4">
    <w:abstractNumId w:val="13"/>
  </w:num>
  <w:num w:numId="5">
    <w:abstractNumId w:val="22"/>
  </w:num>
  <w:num w:numId="6">
    <w:abstractNumId w:val="12"/>
  </w:num>
  <w:num w:numId="7">
    <w:abstractNumId w:val="23"/>
  </w:num>
  <w:num w:numId="8">
    <w:abstractNumId w:val="15"/>
  </w:num>
  <w:num w:numId="9">
    <w:abstractNumId w:val="6"/>
    <w:lvlOverride w:ilvl="0">
      <w:lvl w:ilvl="0">
        <w:start w:val="1"/>
        <w:numFmt w:val="decimal"/>
        <w:pStyle w:val="Titles"/>
        <w:suff w:val="space"/>
        <w:lvlText w:val="Title %1"/>
        <w:lvlJc w:val="left"/>
        <w:pPr>
          <w:ind w:left="0" w:firstLine="0"/>
        </w:pPr>
        <w:rPr>
          <w:rFonts w:hint="default"/>
        </w:rPr>
      </w:lvl>
    </w:lvlOverride>
    <w:lvlOverride w:ilvl="1">
      <w:lvl w:ilvl="1">
        <w:start w:val="1"/>
        <w:numFmt w:val="decimal"/>
        <w:pStyle w:val="Chapter"/>
        <w:suff w:val="space"/>
        <w:lvlText w:val="Chapter %2"/>
        <w:lvlJc w:val="left"/>
        <w:pPr>
          <w:ind w:left="0" w:firstLine="0"/>
        </w:pPr>
        <w:rPr>
          <w:rFonts w:hint="default"/>
          <w:sz w:val="24"/>
        </w:rPr>
      </w:lvl>
    </w:lvlOverride>
    <w:lvlOverride w:ilvl="2">
      <w:lvl w:ilvl="2">
        <w:start w:val="1"/>
        <w:numFmt w:val="decimal"/>
        <w:lvlRestart w:val="0"/>
        <w:pStyle w:val="Article"/>
        <w:suff w:val="space"/>
        <w:lvlText w:val="Article %3"/>
        <w:lvlJc w:val="left"/>
        <w:pPr>
          <w:ind w:left="0" w:firstLine="0"/>
        </w:pPr>
        <w:rPr>
          <w:rFonts w:hint="default"/>
        </w:rPr>
      </w:lvl>
    </w:lvlOverride>
    <w:lvlOverride w:ilvl="3">
      <w:lvl w:ilvl="3">
        <w:start w:val="1"/>
        <w:numFmt w:val="decimal"/>
        <w:pStyle w:val="Para1"/>
        <w:lvlText w:val="(%4)"/>
        <w:lvlJc w:val="left"/>
        <w:pPr>
          <w:tabs>
            <w:tab w:val="num" w:pos="720"/>
          </w:tabs>
          <w:ind w:left="720" w:hanging="720"/>
        </w:pPr>
        <w:rPr>
          <w:rFonts w:hint="default"/>
        </w:rPr>
      </w:lvl>
    </w:lvlOverride>
    <w:lvlOverride w:ilvl="4">
      <w:lvl w:ilvl="4">
        <w:start w:val="1"/>
        <w:numFmt w:val="lowerLetter"/>
        <w:pStyle w:val="Sub-paraa"/>
        <w:lvlText w:val="(%5)"/>
        <w:lvlJc w:val="left"/>
        <w:pPr>
          <w:tabs>
            <w:tab w:val="num" w:pos="1440"/>
          </w:tabs>
          <w:ind w:left="1440" w:hanging="720"/>
        </w:pPr>
        <w:rPr>
          <w:rFonts w:hint="default"/>
        </w:rPr>
      </w:lvl>
    </w:lvlOverride>
    <w:lvlOverride w:ilvl="5">
      <w:lvl w:ilvl="5">
        <w:start w:val="1"/>
        <w:numFmt w:val="lowerRoman"/>
        <w:pStyle w:val="Sub-parai"/>
        <w:lvlText w:val="(%6)"/>
        <w:lvlJc w:val="left"/>
        <w:pPr>
          <w:tabs>
            <w:tab w:val="num" w:pos="2160"/>
          </w:tabs>
          <w:ind w:left="2160" w:hanging="720"/>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Restart w:val="2"/>
        <w:lvlText w:val="%9."/>
        <w:lvlJc w:val="right"/>
        <w:pPr>
          <w:tabs>
            <w:tab w:val="num" w:pos="1584"/>
          </w:tabs>
          <w:ind w:left="1584" w:hanging="144"/>
        </w:pPr>
        <w:rPr>
          <w:rFonts w:hint="default"/>
        </w:rPr>
      </w:lvl>
    </w:lvlOverride>
  </w:num>
  <w:num w:numId="10">
    <w:abstractNumId w:val="14"/>
    <w:lvlOverride w:ilvl="0">
      <w:lvl w:ilvl="0">
        <w:start w:val="1"/>
        <w:numFmt w:val="decimal"/>
        <w:pStyle w:val="Titles"/>
        <w:suff w:val="space"/>
        <w:lvlText w:val="Title %1"/>
        <w:lvlJc w:val="left"/>
        <w:pPr>
          <w:ind w:left="0" w:firstLine="0"/>
        </w:pPr>
        <w:rPr>
          <w:rFonts w:hint="default"/>
        </w:rPr>
      </w:lvl>
    </w:lvlOverride>
    <w:lvlOverride w:ilvl="1">
      <w:lvl w:ilvl="1">
        <w:start w:val="1"/>
        <w:numFmt w:val="decimal"/>
        <w:pStyle w:val="Chapter"/>
        <w:suff w:val="space"/>
        <w:lvlText w:val="Chapter %2"/>
        <w:lvlJc w:val="left"/>
        <w:pPr>
          <w:ind w:left="0" w:firstLine="0"/>
        </w:pPr>
        <w:rPr>
          <w:rFonts w:hint="default"/>
          <w:sz w:val="24"/>
        </w:rPr>
      </w:lvl>
    </w:lvlOverride>
    <w:lvlOverride w:ilvl="2">
      <w:lvl w:ilvl="2">
        <w:start w:val="1"/>
        <w:numFmt w:val="decimal"/>
        <w:lvlRestart w:val="0"/>
        <w:pStyle w:val="Article"/>
        <w:suff w:val="space"/>
        <w:lvlText w:val="Article %3"/>
        <w:lvlJc w:val="left"/>
        <w:pPr>
          <w:ind w:left="0" w:firstLine="0"/>
        </w:pPr>
        <w:rPr>
          <w:rFonts w:hint="default"/>
        </w:rPr>
      </w:lvl>
    </w:lvlOverride>
    <w:lvlOverride w:ilvl="3">
      <w:lvl w:ilvl="3">
        <w:start w:val="1"/>
        <w:numFmt w:val="decimal"/>
        <w:pStyle w:val="Para1"/>
        <w:lvlText w:val="(%4)"/>
        <w:lvlJc w:val="left"/>
        <w:pPr>
          <w:tabs>
            <w:tab w:val="num" w:pos="720"/>
          </w:tabs>
          <w:ind w:left="720" w:hanging="720"/>
        </w:pPr>
        <w:rPr>
          <w:rFonts w:hint="default"/>
        </w:rPr>
      </w:lvl>
    </w:lvlOverride>
    <w:lvlOverride w:ilvl="4">
      <w:lvl w:ilvl="4">
        <w:start w:val="1"/>
        <w:numFmt w:val="lowerLetter"/>
        <w:pStyle w:val="Sub-paraa"/>
        <w:lvlText w:val="(%5)"/>
        <w:lvlJc w:val="left"/>
        <w:pPr>
          <w:tabs>
            <w:tab w:val="num" w:pos="1440"/>
          </w:tabs>
          <w:ind w:left="1440" w:hanging="720"/>
        </w:pPr>
        <w:rPr>
          <w:rFonts w:hint="default"/>
        </w:rPr>
      </w:lvl>
    </w:lvlOverride>
    <w:lvlOverride w:ilvl="5">
      <w:lvl w:ilvl="5">
        <w:start w:val="1"/>
        <w:numFmt w:val="lowerRoman"/>
        <w:pStyle w:val="Sub-parai"/>
        <w:lvlText w:val="(%6)"/>
        <w:lvlJc w:val="left"/>
        <w:pPr>
          <w:tabs>
            <w:tab w:val="num" w:pos="2160"/>
          </w:tabs>
          <w:ind w:left="2160" w:hanging="720"/>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Restart w:val="2"/>
        <w:lvlText w:val="%9."/>
        <w:lvlJc w:val="right"/>
        <w:pPr>
          <w:tabs>
            <w:tab w:val="num" w:pos="1584"/>
          </w:tabs>
          <w:ind w:left="1584" w:hanging="144"/>
        </w:pPr>
        <w:rPr>
          <w:rFonts w:hint="default"/>
        </w:rPr>
      </w:lvl>
    </w:lvlOverride>
  </w:num>
  <w:num w:numId="11">
    <w:abstractNumId w:val="25"/>
  </w:num>
  <w:num w:numId="12">
    <w:abstractNumId w:val="27"/>
  </w:num>
  <w:num w:numId="13">
    <w:abstractNumId w:val="31"/>
  </w:num>
  <w:num w:numId="14">
    <w:abstractNumId w:val="19"/>
  </w:num>
  <w:num w:numId="15">
    <w:abstractNumId w:val="24"/>
  </w:num>
  <w:num w:numId="16">
    <w:abstractNumId w:val="1"/>
  </w:num>
  <w:num w:numId="17">
    <w:abstractNumId w:val="33"/>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9"/>
  </w:num>
  <w:num w:numId="22">
    <w:abstractNumId w:val="29"/>
  </w:num>
  <w:num w:numId="23">
    <w:abstractNumId w:val="17"/>
  </w:num>
  <w:num w:numId="24">
    <w:abstractNumId w:val="2"/>
  </w:num>
  <w:num w:numId="25">
    <w:abstractNumId w:val="32"/>
  </w:num>
  <w:num w:numId="26">
    <w:abstractNumId w:val="1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0"/>
  </w:num>
  <w:num w:numId="30">
    <w:abstractNumId w:val="28"/>
  </w:num>
  <w:num w:numId="31">
    <w:abstractNumId w:val="26"/>
  </w:num>
  <w:num w:numId="32">
    <w:abstractNumId w:val="16"/>
  </w:num>
  <w:num w:numId="33">
    <w:abstractNumId w:val="20"/>
  </w:num>
  <w:num w:numId="34">
    <w:abstractNumId w:val="3"/>
  </w:num>
  <w:num w:numId="35">
    <w:abstractNumId w:val="34"/>
  </w:num>
  <w:num w:numId="36">
    <w:abstractNumId w:val="18"/>
  </w:num>
  <w:num w:numId="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de-DE"/>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hAnsi="Arial" w:cs="Arial"/>
      <w:b/>
      <w:bCs/>
      <w:lang w:eastAsia="en-U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Header">
    <w:name w:val="header"/>
    <w:basedOn w:val="Normal"/>
    <w:pPr>
      <w:tabs>
        <w:tab w:val="center" w:pos="4320"/>
        <w:tab w:val="right" w:pos="8640"/>
      </w:tabs>
    </w:pPr>
    <w:rPr>
      <w:rFonts w:ascii="Arial" w:eastAsia="Arial Unicode MS" w:hAnsi="Arial" w:cs="Arial"/>
      <w:sz w:val="18"/>
      <w:szCs w:val="18"/>
      <w:lang w:eastAsia="en-US"/>
    </w:rPr>
  </w:style>
  <w:style w:type="paragraph" w:styleId="Footer">
    <w:name w:val="footer"/>
    <w:basedOn w:val="Normal"/>
    <w:link w:val="FooterChar"/>
    <w:uiPriority w:val="99"/>
    <w:pPr>
      <w:tabs>
        <w:tab w:val="center" w:pos="4536"/>
        <w:tab w:val="right" w:pos="9072"/>
      </w:tabs>
    </w:pPr>
    <w:rPr>
      <w:lang w:val="de-DE"/>
    </w:rPr>
  </w:style>
  <w:style w:type="character" w:styleId="PageNumber">
    <w:name w:val="page number"/>
    <w:basedOn w:val="DefaultParagraphFont"/>
  </w:style>
  <w:style w:type="paragraph" w:styleId="BodyTextIndent">
    <w:name w:val="Body Text Indent"/>
    <w:basedOn w:val="Normal"/>
    <w:pPr>
      <w:ind w:left="720"/>
    </w:pPr>
    <w:rPr>
      <w:rFonts w:ascii="Arial" w:hAnsi="Arial" w:cs="Arial"/>
      <w:lang w:eastAsia="en-US"/>
    </w:rPr>
  </w:style>
  <w:style w:type="paragraph" w:styleId="BodyText">
    <w:name w:val="Body Text"/>
    <w:basedOn w:val="Normal"/>
    <w:link w:val="BodyTextChar"/>
    <w:uiPriority w:val="99"/>
    <w:pPr>
      <w:spacing w:after="120"/>
    </w:pPr>
    <w:rPr>
      <w:lang w:val="de-DE"/>
    </w:rPr>
  </w:style>
  <w:style w:type="character" w:styleId="Hyperlink">
    <w:name w:val="Hyperlink"/>
    <w:rPr>
      <w:color w:val="0000FF"/>
      <w:u w:val="single"/>
    </w:rPr>
  </w:style>
  <w:style w:type="paragraph" w:styleId="BodyTextIndent2">
    <w:name w:val="Body Text Indent 2"/>
    <w:basedOn w:val="Normal"/>
    <w:pPr>
      <w:spacing w:after="120" w:line="480" w:lineRule="auto"/>
      <w:ind w:left="283"/>
    </w:pPr>
  </w:style>
  <w:style w:type="paragraph" w:customStyle="1" w:styleId="Subbulet">
    <w:name w:val="Subbulet"/>
    <w:basedOn w:val="Normal"/>
    <w:pPr>
      <w:numPr>
        <w:ilvl w:val="1"/>
        <w:numId w:val="1"/>
      </w:numPr>
      <w:overflowPunct w:val="0"/>
      <w:autoSpaceDE w:val="0"/>
      <w:autoSpaceDN w:val="0"/>
      <w:adjustRightInd w:val="0"/>
      <w:jc w:val="both"/>
      <w:textAlignment w:val="baseline"/>
    </w:pPr>
    <w:rPr>
      <w:sz w:val="26"/>
      <w:szCs w:val="26"/>
      <w:lang w:eastAsia="fr-FR"/>
    </w:rPr>
  </w:style>
  <w:style w:type="character" w:customStyle="1" w:styleId="SubbuletChar">
    <w:name w:val="Subbulet Char"/>
    <w:rPr>
      <w:noProof w:val="0"/>
      <w:sz w:val="26"/>
      <w:szCs w:val="26"/>
      <w:lang w:val="en-GB" w:eastAsia="fr-FR" w:bidi="ar-SA"/>
    </w:rPr>
  </w:style>
  <w:style w:type="paragraph" w:customStyle="1" w:styleId="ContinuousSquareBullet">
    <w:name w:val="Continuous Square Bullet"/>
    <w:basedOn w:val="Normal"/>
    <w:pPr>
      <w:numPr>
        <w:numId w:val="2"/>
      </w:numPr>
      <w:spacing w:after="280" w:line="280" w:lineRule="exact"/>
    </w:pPr>
    <w:rPr>
      <w:rFonts w:ascii="Arial" w:hAnsi="Arial"/>
      <w:sz w:val="23"/>
      <w:szCs w:val="20"/>
      <w:lang w:eastAsia="en-US"/>
    </w:r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rPr>
      <w:szCs w:val="20"/>
      <w:lang w:val="nl-NL" w:eastAsia="nl-NL"/>
    </w:rPr>
  </w:style>
  <w:style w:type="character" w:styleId="FootnoteReference">
    <w:name w:val="footnote reference"/>
    <w:semiHidden/>
    <w:rPr>
      <w:vertAlign w:val="superscript"/>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customStyle="1" w:styleId="Anglais">
    <w:name w:val="Anglais"/>
    <w:basedOn w:val="Normal"/>
    <w:rPr>
      <w:szCs w:val="20"/>
      <w:lang w:eastAsia="en-US"/>
    </w:rPr>
  </w:style>
  <w:style w:type="character" w:styleId="EndnoteReference">
    <w:name w:val="endnote reference"/>
    <w:semiHidden/>
    <w:rPr>
      <w:vertAlign w:val="superscript"/>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customStyle="1" w:styleId="FirmaSchlu">
    <w:name w:val="FirmaSchluß"/>
    <w:basedOn w:val="Normal"/>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
    <w:rPr>
      <w:rFonts w:ascii="Arial" w:hAnsi="Arial"/>
      <w:szCs w:val="20"/>
      <w:lang w:eastAsia="en-US"/>
    </w:rPr>
  </w:style>
  <w:style w:type="character" w:customStyle="1" w:styleId="Heading5Char">
    <w:name w:val="Heading 5 Char"/>
    <w:rPr>
      <w:b/>
      <w:bCs/>
      <w:i/>
      <w:iCs/>
      <w:sz w:val="26"/>
      <w:szCs w:val="26"/>
      <w:lang w:val="de-DE" w:eastAsia="de-DE" w:bidi="ar-SA"/>
    </w:rPr>
  </w:style>
  <w:style w:type="paragraph" w:customStyle="1" w:styleId="Overskrift">
    <w:name w:val="Overskrift"/>
    <w:basedOn w:val="Normal"/>
    <w:next w:val="Normal"/>
    <w:pPr>
      <w:spacing w:after="240"/>
      <w:jc w:val="both"/>
    </w:pPr>
    <w:rPr>
      <w:b/>
      <w:szCs w:val="20"/>
    </w:rPr>
  </w:style>
  <w:style w:type="paragraph" w:customStyle="1" w:styleId="000">
    <w:name w:val="000"/>
    <w:aliases w:val="standaard"/>
    <w:basedOn w:val="Normal"/>
    <w:pPr>
      <w:overflowPunct w:val="0"/>
      <w:autoSpaceDE w:val="0"/>
      <w:autoSpaceDN w:val="0"/>
      <w:adjustRightInd w:val="0"/>
      <w:spacing w:line="280" w:lineRule="atLeast"/>
      <w:jc w:val="both"/>
      <w:textAlignment w:val="baseline"/>
    </w:pPr>
    <w:rPr>
      <w:szCs w:val="20"/>
      <w:lang w:val="en-US" w:eastAsia="en-US"/>
    </w:rPr>
  </w:style>
  <w:style w:type="paragraph" w:styleId="NormalIndent">
    <w:name w:val="Normal Indent"/>
    <w:basedOn w:val="Normal"/>
    <w:pPr>
      <w:spacing w:after="180" w:line="288" w:lineRule="auto"/>
      <w:ind w:left="709"/>
    </w:pPr>
    <w:rPr>
      <w:rFonts w:ascii="Arial" w:hAnsi="Arial"/>
      <w:noProof/>
      <w:sz w:val="20"/>
      <w:szCs w:val="20"/>
      <w:lang w:eastAsia="en-US"/>
    </w:rPr>
  </w:style>
  <w:style w:type="paragraph" w:customStyle="1" w:styleId="NormalBefore3pt">
    <w:name w:val="Normal + Before:  3 pt"/>
    <w:aliases w:val="After:  0 pt"/>
    <w:basedOn w:val="Normal"/>
    <w:pPr>
      <w:autoSpaceDE w:val="0"/>
      <w:autoSpaceDN w:val="0"/>
      <w:adjustRightInd w:val="0"/>
    </w:pPr>
    <w:rPr>
      <w:rFonts w:ascii="Arial" w:hAnsi="Arial"/>
      <w:sz w:val="20"/>
      <w:szCs w:val="20"/>
      <w:lang w:eastAsia="en-US"/>
    </w:rPr>
  </w:style>
  <w:style w:type="paragraph" w:customStyle="1" w:styleId="BodyText-CEA">
    <w:name w:val="Body Text - CEA"/>
    <w:basedOn w:val="Normal"/>
    <w:autoRedefine/>
    <w:pPr>
      <w:jc w:val="both"/>
    </w:pPr>
    <w:rPr>
      <w:rFonts w:ascii="Verdana" w:hAnsi="Verdana"/>
      <w:sz w:val="22"/>
      <w:szCs w:val="22"/>
    </w:rPr>
  </w:style>
  <w:style w:type="paragraph" w:customStyle="1" w:styleId="Heading2-CEA">
    <w:name w:val="Heading 2 - CEA"/>
    <w:basedOn w:val="Normal"/>
    <w:pPr>
      <w:overflowPunct w:val="0"/>
      <w:autoSpaceDE w:val="0"/>
      <w:autoSpaceDN w:val="0"/>
      <w:adjustRightInd w:val="0"/>
      <w:jc w:val="both"/>
      <w:textAlignment w:val="baseline"/>
    </w:pPr>
    <w:rPr>
      <w:rFonts w:ascii="Frutiger LT Com 45 Light" w:hAnsi="Frutiger LT Com 45 Light"/>
      <w:b/>
      <w:lang w:eastAsia="fr-FR"/>
    </w:rPr>
  </w:style>
  <w:style w:type="paragraph" w:customStyle="1" w:styleId="ACbodynormal">
    <w:name w:val="AC body normal"/>
    <w:pPr>
      <w:spacing w:before="100" w:after="100" w:line="200" w:lineRule="atLeast"/>
    </w:pPr>
    <w:rPr>
      <w:sz w:val="21"/>
      <w:lang w:val="en-GB" w:eastAsia="en-US"/>
    </w:rPr>
  </w:style>
  <w:style w:type="character" w:customStyle="1" w:styleId="Heading1-CEACharCharCharCharCharCharCharCharCharCharCharChar">
    <w:name w:val="Heading 1 - CEA Char Char Char Char Char Char Char Char Char Char Char Char"/>
    <w:link w:val="Heading1-CEACharCharCharCharCharCharCharCharCharCharChar"/>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
    <w:link w:val="Heading1-CEACharCharCharCharCharCharCharCharCharCharCharChar"/>
    <w:autoRedefine/>
    <w:pPr>
      <w:overflowPunct w:val="0"/>
      <w:autoSpaceDE w:val="0"/>
      <w:autoSpaceDN w:val="0"/>
      <w:adjustRightInd w:val="0"/>
      <w:jc w:val="both"/>
      <w:textAlignment w:val="baseline"/>
    </w:pPr>
    <w:rPr>
      <w:rFonts w:ascii="Frutiger LT Com 45 Light" w:hAnsi="Frutiger LT Com 45 Light"/>
      <w:b/>
      <w:color w:val="034EA2"/>
      <w:sz w:val="28"/>
      <w:szCs w:val="28"/>
      <w:lang w:eastAsia="fr-FR"/>
    </w:rPr>
  </w:style>
  <w:style w:type="paragraph" w:customStyle="1" w:styleId="List1-CEA">
    <w:name w:val="List 1 -  CEA"/>
    <w:basedOn w:val="Normal"/>
    <w:autoRedefine/>
    <w:pPr>
      <w:autoSpaceDE w:val="0"/>
      <w:autoSpaceDN w:val="0"/>
      <w:adjustRightInd w:val="0"/>
      <w:jc w:val="both"/>
    </w:pPr>
    <w:rPr>
      <w:rFonts w:ascii="Frutiger LT Com 45 Light" w:hAnsi="Frutiger LT Com 45 Light"/>
      <w:sz w:val="20"/>
      <w:szCs w:val="20"/>
      <w:lang w:eastAsia="en-US"/>
    </w:rPr>
  </w:style>
  <w:style w:type="paragraph" w:customStyle="1" w:styleId="Heading1-CEA">
    <w:name w:val="Heading 1 - CEA"/>
    <w:basedOn w:val="Normal"/>
    <w:autoRedefine/>
    <w:pPr>
      <w:autoSpaceDE w:val="0"/>
      <w:autoSpaceDN w:val="0"/>
      <w:adjustRightInd w:val="0"/>
    </w:pPr>
    <w:rPr>
      <w:rFonts w:ascii="Frutiger LT Com 45 Light" w:hAnsi="Frutiger LT Com 45 Light"/>
      <w:b/>
      <w:color w:val="034EA2"/>
      <w:sz w:val="28"/>
      <w:szCs w:val="28"/>
      <w:lang w:eastAsia="en-US"/>
    </w:rPr>
  </w:style>
  <w:style w:type="paragraph" w:customStyle="1" w:styleId="Text">
    <w:name w:val="Text"/>
    <w:basedOn w:val="Normal"/>
    <w:pPr>
      <w:tabs>
        <w:tab w:val="left" w:pos="284"/>
      </w:tabs>
      <w:overflowPunct w:val="0"/>
      <w:autoSpaceDE w:val="0"/>
      <w:autoSpaceDN w:val="0"/>
      <w:adjustRightInd w:val="0"/>
      <w:spacing w:after="260"/>
      <w:jc w:val="both"/>
      <w:textAlignment w:val="baseline"/>
    </w:pPr>
    <w:rPr>
      <w:sz w:val="22"/>
      <w:szCs w:val="20"/>
      <w:lang w:eastAsia="en-US"/>
    </w:rPr>
  </w:style>
  <w:style w:type="paragraph" w:customStyle="1" w:styleId="Bullet">
    <w:name w:val="Bullet"/>
    <w:basedOn w:val="Normal"/>
    <w:pPr>
      <w:numPr>
        <w:numId w:val="3"/>
      </w:numPr>
      <w:tabs>
        <w:tab w:val="left" w:pos="284"/>
      </w:tabs>
      <w:overflowPunct w:val="0"/>
      <w:autoSpaceDE w:val="0"/>
      <w:autoSpaceDN w:val="0"/>
      <w:adjustRightInd w:val="0"/>
      <w:spacing w:after="260"/>
      <w:jc w:val="both"/>
      <w:textAlignment w:val="baseline"/>
    </w:pPr>
    <w:rPr>
      <w:sz w:val="22"/>
      <w:szCs w:val="20"/>
      <w:lang w:eastAsia="en-US"/>
    </w:rPr>
  </w:style>
  <w:style w:type="paragraph" w:customStyle="1" w:styleId="a">
    <w:name w:val="(a)"/>
    <w:basedOn w:val="BodyText"/>
    <w:pPr>
      <w:spacing w:after="240"/>
      <w:ind w:left="720" w:hanging="720"/>
      <w:jc w:val="both"/>
    </w:pPr>
    <w:rPr>
      <w:lang w:val="en-GB" w:eastAsia="en-US"/>
    </w:rPr>
  </w:style>
  <w:style w:type="paragraph" w:customStyle="1" w:styleId="i">
    <w:name w:val="(i)"/>
    <w:basedOn w:val="BodyText"/>
    <w:pPr>
      <w:tabs>
        <w:tab w:val="right" w:pos="1296"/>
      </w:tabs>
      <w:spacing w:after="240"/>
      <w:ind w:left="1440" w:hanging="1440"/>
      <w:jc w:val="both"/>
    </w:pPr>
    <w:rPr>
      <w:lang w:val="en-GB"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rPr>
      <w:sz w:val="20"/>
      <w:szCs w:val="20"/>
      <w:lang w:val="de-DE"/>
    </w:rPr>
  </w:style>
  <w:style w:type="paragraph" w:styleId="CommentSubject">
    <w:name w:val="annotation subject"/>
    <w:basedOn w:val="CommentText"/>
    <w:next w:val="CommentText"/>
    <w:semiHidden/>
    <w:rPr>
      <w:b/>
      <w:bCs/>
    </w:rPr>
  </w:style>
  <w:style w:type="paragraph" w:customStyle="1" w:styleId="DocTitle">
    <w:name w:val="DocTitle"/>
    <w:basedOn w:val="Normal"/>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eastAsia="ja-JP"/>
    </w:rPr>
  </w:style>
  <w:style w:type="paragraph" w:customStyle="1" w:styleId="Paragraph">
    <w:name w:val="Paragraph"/>
    <w:basedOn w:val="Normal"/>
    <w:pPr>
      <w:spacing w:after="120"/>
      <w:jc w:val="both"/>
    </w:pPr>
    <w:rPr>
      <w:rFonts w:ascii="Arial" w:eastAsia="Arial Unicode MS" w:hAnsi="Arial"/>
      <w:sz w:val="18"/>
      <w:szCs w:val="18"/>
      <w:lang w:eastAsia="nl-NL"/>
    </w:rPr>
  </w:style>
  <w:style w:type="paragraph" w:customStyle="1" w:styleId="Numberedparagraph">
    <w:name w:val="Numbered paragraph"/>
    <w:pPr>
      <w:numPr>
        <w:numId w:val="4"/>
      </w:numPr>
      <w:spacing w:after="240" w:line="280" w:lineRule="atLeast"/>
      <w:jc w:val="both"/>
    </w:pPr>
    <w:rPr>
      <w:rFonts w:ascii="Arial" w:hAnsi="Arial"/>
      <w:sz w:val="22"/>
      <w:lang w:val="en-GB" w:eastAsia="en-US"/>
    </w:rPr>
  </w:style>
  <w:style w:type="paragraph" w:customStyle="1" w:styleId="QISIndentCharCharChar">
    <w:name w:val="QISIndent Char Char Char"/>
    <w:basedOn w:val="Normal"/>
    <w:pPr>
      <w:spacing w:after="240"/>
      <w:ind w:left="1134"/>
      <w:jc w:val="both"/>
    </w:pPr>
    <w:rPr>
      <w:rFonts w:ascii="Verdana" w:eastAsia="MS Mincho" w:hAnsi="Verdana"/>
      <w:sz w:val="22"/>
      <w:szCs w:val="20"/>
      <w:lang w:eastAsia="ja-JP"/>
    </w:rPr>
  </w:style>
  <w:style w:type="paragraph" w:customStyle="1" w:styleId="QISTextCharCharCharCharCharCharCharCharCharCharCharCharChar1CharChar">
    <w:name w:val="QISText Char Char Char Char Char Char Char Char Char Char Char Char Char1 Char Char"/>
    <w:basedOn w:val="Normal"/>
    <w:pPr>
      <w:numPr>
        <w:ilvl w:val="1"/>
        <w:numId w:val="5"/>
      </w:numPr>
      <w:spacing w:after="240"/>
      <w:jc w:val="both"/>
    </w:pPr>
    <w:rPr>
      <w:rFonts w:ascii="Verdana" w:eastAsia="MS Mincho" w:hAnsi="Verdana"/>
      <w:sz w:val="22"/>
      <w:szCs w:val="22"/>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Pr>
      <w:lang w:val="de-DE" w:eastAsia="de-DE"/>
    </w:rPr>
  </w:style>
  <w:style w:type="paragraph" w:customStyle="1" w:styleId="ListParagraph1">
    <w:name w:val="List Paragraph1"/>
    <w:basedOn w:val="Normal"/>
    <w:uiPriority w:val="34"/>
    <w:qFormat/>
    <w:pPr>
      <w:ind w:left="708"/>
    </w:pPr>
    <w:rPr>
      <w:lang w:eastAsia="en-GB"/>
    </w:rPr>
  </w:style>
  <w:style w:type="character" w:customStyle="1" w:styleId="BodyTextChar">
    <w:name w:val="Body Text Char"/>
    <w:link w:val="BodyText"/>
    <w:uiPriority w:val="99"/>
    <w:rPr>
      <w:sz w:val="24"/>
      <w:szCs w:val="24"/>
      <w:lang w:val="de-DE" w:eastAsia="de-DE"/>
    </w:rPr>
  </w:style>
  <w:style w:type="character" w:styleId="Strong">
    <w:name w:val="Strong"/>
    <w:uiPriority w:val="22"/>
    <w:qFormat/>
    <w:rPr>
      <w:b/>
      <w:bCs/>
    </w:rPr>
  </w:style>
  <w:style w:type="character" w:customStyle="1" w:styleId="FooterChar">
    <w:name w:val="Footer Char"/>
    <w:link w:val="Footer"/>
    <w:uiPriority w:val="99"/>
    <w:rPr>
      <w:sz w:val="24"/>
      <w:szCs w:val="24"/>
      <w:lang w:val="de-DE" w:eastAsia="de-DE"/>
    </w:rPr>
  </w:style>
  <w:style w:type="paragraph" w:customStyle="1" w:styleId="04aNumeration">
    <w:name w:val="04a_Numeration"/>
    <w:basedOn w:val="Normal"/>
    <w:uiPriority w:val="99"/>
    <w:pPr>
      <w:numPr>
        <w:numId w:val="7"/>
      </w:numPr>
      <w:spacing w:after="250" w:line="276" w:lineRule="auto"/>
      <w:jc w:val="both"/>
    </w:pPr>
    <w:rPr>
      <w:rFonts w:ascii="Georgia" w:hAnsi="Georgia"/>
      <w:szCs w:val="20"/>
    </w:rPr>
  </w:style>
  <w:style w:type="paragraph" w:customStyle="1" w:styleId="ManualNumPar1">
    <w:name w:val="Manual NumPar 1"/>
    <w:basedOn w:val="Normal"/>
    <w:next w:val="Normal"/>
    <w:link w:val="ManualNumPar1Char"/>
    <w:pPr>
      <w:spacing w:before="120" w:after="120"/>
      <w:ind w:left="850" w:hanging="850"/>
      <w:jc w:val="both"/>
    </w:pPr>
  </w:style>
  <w:style w:type="character" w:customStyle="1" w:styleId="ManualNumPar1Char">
    <w:name w:val="Manual NumPar 1 Char"/>
    <w:link w:val="ManualNumPar1"/>
    <w:rPr>
      <w:sz w:val="24"/>
      <w:szCs w:val="24"/>
      <w:lang w:eastAsia="de-DE"/>
    </w:rPr>
  </w:style>
  <w:style w:type="paragraph" w:customStyle="1" w:styleId="Chapter">
    <w:name w:val="Chapter"/>
    <w:basedOn w:val="Normal"/>
    <w:next w:val="Normal"/>
    <w:pPr>
      <w:keepNext/>
      <w:numPr>
        <w:ilvl w:val="1"/>
        <w:numId w:val="10"/>
      </w:numPr>
      <w:spacing w:before="480" w:after="240"/>
      <w:contextualSpacing/>
      <w:jc w:val="center"/>
      <w:outlineLvl w:val="1"/>
    </w:pPr>
    <w:rPr>
      <w:b/>
      <w:lang w:eastAsia="en-US"/>
    </w:rPr>
  </w:style>
  <w:style w:type="paragraph" w:customStyle="1" w:styleId="Article">
    <w:name w:val="Article"/>
    <w:basedOn w:val="Normal"/>
    <w:next w:val="Normal"/>
    <w:pPr>
      <w:keepNext/>
      <w:numPr>
        <w:ilvl w:val="2"/>
        <w:numId w:val="10"/>
      </w:numPr>
      <w:spacing w:after="240"/>
      <w:contextualSpacing/>
      <w:outlineLvl w:val="2"/>
    </w:pPr>
    <w:rPr>
      <w:b/>
      <w:lang w:eastAsia="en-US"/>
    </w:rPr>
  </w:style>
  <w:style w:type="numbering" w:customStyle="1" w:styleId="Decision">
    <w:name w:val="Decision"/>
    <w:basedOn w:val="NoList"/>
    <w:pPr>
      <w:numPr>
        <w:numId w:val="37"/>
      </w:numPr>
    </w:pPr>
  </w:style>
  <w:style w:type="paragraph" w:customStyle="1" w:styleId="Titles">
    <w:name w:val="Titles"/>
    <w:basedOn w:val="Normal"/>
    <w:next w:val="Chapter"/>
    <w:pPr>
      <w:keepNext/>
      <w:numPr>
        <w:numId w:val="10"/>
      </w:numPr>
      <w:spacing w:before="480" w:after="240"/>
      <w:contextualSpacing/>
      <w:jc w:val="center"/>
      <w:outlineLvl w:val="0"/>
    </w:pPr>
    <w:rPr>
      <w:b/>
      <w:caps/>
      <w:lang w:eastAsia="en-US"/>
    </w:rPr>
  </w:style>
  <w:style w:type="paragraph" w:customStyle="1" w:styleId="Para1">
    <w:name w:val="Para 1."/>
    <w:basedOn w:val="Normal"/>
    <w:pPr>
      <w:numPr>
        <w:ilvl w:val="3"/>
        <w:numId w:val="10"/>
      </w:numPr>
      <w:spacing w:after="240"/>
      <w:outlineLvl w:val="3"/>
    </w:pPr>
    <w:rPr>
      <w:lang w:eastAsia="en-US"/>
    </w:rPr>
  </w:style>
  <w:style w:type="paragraph" w:customStyle="1" w:styleId="Sub-paraa">
    <w:name w:val="Sub-para (a)"/>
    <w:basedOn w:val="Normal"/>
    <w:pPr>
      <w:numPr>
        <w:ilvl w:val="4"/>
        <w:numId w:val="10"/>
      </w:numPr>
      <w:spacing w:after="240"/>
      <w:outlineLvl w:val="4"/>
    </w:pPr>
    <w:rPr>
      <w:lang w:eastAsia="en-US"/>
    </w:rPr>
  </w:style>
  <w:style w:type="paragraph" w:customStyle="1" w:styleId="Sub-parai">
    <w:name w:val="Sub-para (i)"/>
    <w:basedOn w:val="Normal"/>
    <w:pPr>
      <w:numPr>
        <w:ilvl w:val="5"/>
        <w:numId w:val="10"/>
      </w:numPr>
      <w:spacing w:after="240"/>
      <w:outlineLvl w:val="5"/>
    </w:pPr>
    <w:rPr>
      <w:lang w:eastAsia="en-US"/>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link w:val="PlainText"/>
    <w:uiPriority w:val="99"/>
    <w:rPr>
      <w:rFonts w:ascii="Calibri" w:hAnsi="Calibri"/>
      <w:sz w:val="22"/>
      <w:szCs w:val="21"/>
    </w:rPr>
  </w:style>
  <w:style w:type="paragraph" w:customStyle="1" w:styleId="Normale1">
    <w:name w:val="Normale1"/>
    <w:basedOn w:val="Normal"/>
    <w:pPr>
      <w:widowControl w:val="0"/>
    </w:pPr>
    <w:rPr>
      <w:rFonts w:ascii="Arial" w:eastAsia="Arial" w:hAnsi="Arial" w:cs="Arial"/>
      <w:sz w:val="22"/>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de-DE"/>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hAnsi="Arial" w:cs="Arial"/>
      <w:b/>
      <w:bCs/>
      <w:lang w:eastAsia="en-U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Header">
    <w:name w:val="header"/>
    <w:basedOn w:val="Normal"/>
    <w:pPr>
      <w:tabs>
        <w:tab w:val="center" w:pos="4320"/>
        <w:tab w:val="right" w:pos="8640"/>
      </w:tabs>
    </w:pPr>
    <w:rPr>
      <w:rFonts w:ascii="Arial" w:eastAsia="Arial Unicode MS" w:hAnsi="Arial" w:cs="Arial"/>
      <w:sz w:val="18"/>
      <w:szCs w:val="18"/>
      <w:lang w:eastAsia="en-US"/>
    </w:rPr>
  </w:style>
  <w:style w:type="paragraph" w:styleId="Footer">
    <w:name w:val="footer"/>
    <w:basedOn w:val="Normal"/>
    <w:link w:val="FooterChar"/>
    <w:uiPriority w:val="99"/>
    <w:pPr>
      <w:tabs>
        <w:tab w:val="center" w:pos="4536"/>
        <w:tab w:val="right" w:pos="9072"/>
      </w:tabs>
    </w:pPr>
    <w:rPr>
      <w:lang w:val="de-DE"/>
    </w:rPr>
  </w:style>
  <w:style w:type="character" w:styleId="PageNumber">
    <w:name w:val="page number"/>
    <w:basedOn w:val="DefaultParagraphFont"/>
  </w:style>
  <w:style w:type="paragraph" w:styleId="BodyTextIndent">
    <w:name w:val="Body Text Indent"/>
    <w:basedOn w:val="Normal"/>
    <w:pPr>
      <w:ind w:left="720"/>
    </w:pPr>
    <w:rPr>
      <w:rFonts w:ascii="Arial" w:hAnsi="Arial" w:cs="Arial"/>
      <w:lang w:eastAsia="en-US"/>
    </w:rPr>
  </w:style>
  <w:style w:type="paragraph" w:styleId="BodyText">
    <w:name w:val="Body Text"/>
    <w:basedOn w:val="Normal"/>
    <w:link w:val="BodyTextChar"/>
    <w:uiPriority w:val="99"/>
    <w:pPr>
      <w:spacing w:after="120"/>
    </w:pPr>
    <w:rPr>
      <w:lang w:val="de-DE"/>
    </w:rPr>
  </w:style>
  <w:style w:type="character" w:styleId="Hyperlink">
    <w:name w:val="Hyperlink"/>
    <w:rPr>
      <w:color w:val="0000FF"/>
      <w:u w:val="single"/>
    </w:rPr>
  </w:style>
  <w:style w:type="paragraph" w:styleId="BodyTextIndent2">
    <w:name w:val="Body Text Indent 2"/>
    <w:basedOn w:val="Normal"/>
    <w:pPr>
      <w:spacing w:after="120" w:line="480" w:lineRule="auto"/>
      <w:ind w:left="283"/>
    </w:pPr>
  </w:style>
  <w:style w:type="paragraph" w:customStyle="1" w:styleId="Subbulet">
    <w:name w:val="Subbulet"/>
    <w:basedOn w:val="Normal"/>
    <w:pPr>
      <w:numPr>
        <w:ilvl w:val="1"/>
        <w:numId w:val="1"/>
      </w:numPr>
      <w:overflowPunct w:val="0"/>
      <w:autoSpaceDE w:val="0"/>
      <w:autoSpaceDN w:val="0"/>
      <w:adjustRightInd w:val="0"/>
      <w:jc w:val="both"/>
      <w:textAlignment w:val="baseline"/>
    </w:pPr>
    <w:rPr>
      <w:sz w:val="26"/>
      <w:szCs w:val="26"/>
      <w:lang w:eastAsia="fr-FR"/>
    </w:rPr>
  </w:style>
  <w:style w:type="character" w:customStyle="1" w:styleId="SubbuletChar">
    <w:name w:val="Subbulet Char"/>
    <w:rPr>
      <w:noProof w:val="0"/>
      <w:sz w:val="26"/>
      <w:szCs w:val="26"/>
      <w:lang w:val="en-GB" w:eastAsia="fr-FR" w:bidi="ar-SA"/>
    </w:rPr>
  </w:style>
  <w:style w:type="paragraph" w:customStyle="1" w:styleId="ContinuousSquareBullet">
    <w:name w:val="Continuous Square Bullet"/>
    <w:basedOn w:val="Normal"/>
    <w:pPr>
      <w:numPr>
        <w:numId w:val="2"/>
      </w:numPr>
      <w:spacing w:after="280" w:line="280" w:lineRule="exact"/>
    </w:pPr>
    <w:rPr>
      <w:rFonts w:ascii="Arial" w:hAnsi="Arial"/>
      <w:sz w:val="23"/>
      <w:szCs w:val="20"/>
      <w:lang w:eastAsia="en-US"/>
    </w:r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rPr>
      <w:szCs w:val="20"/>
      <w:lang w:val="nl-NL" w:eastAsia="nl-NL"/>
    </w:rPr>
  </w:style>
  <w:style w:type="character" w:styleId="FootnoteReference">
    <w:name w:val="footnote reference"/>
    <w:semiHidden/>
    <w:rPr>
      <w:vertAlign w:val="superscript"/>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customStyle="1" w:styleId="Anglais">
    <w:name w:val="Anglais"/>
    <w:basedOn w:val="Normal"/>
    <w:rPr>
      <w:szCs w:val="20"/>
      <w:lang w:eastAsia="en-US"/>
    </w:rPr>
  </w:style>
  <w:style w:type="character" w:styleId="EndnoteReference">
    <w:name w:val="endnote reference"/>
    <w:semiHidden/>
    <w:rPr>
      <w:vertAlign w:val="superscript"/>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customStyle="1" w:styleId="FirmaSchlu">
    <w:name w:val="FirmaSchluß"/>
    <w:basedOn w:val="Normal"/>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
    <w:rPr>
      <w:rFonts w:ascii="Arial" w:hAnsi="Arial"/>
      <w:szCs w:val="20"/>
      <w:lang w:eastAsia="en-US"/>
    </w:rPr>
  </w:style>
  <w:style w:type="character" w:customStyle="1" w:styleId="Heading5Char">
    <w:name w:val="Heading 5 Char"/>
    <w:rPr>
      <w:b/>
      <w:bCs/>
      <w:i/>
      <w:iCs/>
      <w:sz w:val="26"/>
      <w:szCs w:val="26"/>
      <w:lang w:val="de-DE" w:eastAsia="de-DE" w:bidi="ar-SA"/>
    </w:rPr>
  </w:style>
  <w:style w:type="paragraph" w:customStyle="1" w:styleId="Overskrift">
    <w:name w:val="Overskrift"/>
    <w:basedOn w:val="Normal"/>
    <w:next w:val="Normal"/>
    <w:pPr>
      <w:spacing w:after="240"/>
      <w:jc w:val="both"/>
    </w:pPr>
    <w:rPr>
      <w:b/>
      <w:szCs w:val="20"/>
    </w:rPr>
  </w:style>
  <w:style w:type="paragraph" w:customStyle="1" w:styleId="000">
    <w:name w:val="000"/>
    <w:aliases w:val="standaard"/>
    <w:basedOn w:val="Normal"/>
    <w:pPr>
      <w:overflowPunct w:val="0"/>
      <w:autoSpaceDE w:val="0"/>
      <w:autoSpaceDN w:val="0"/>
      <w:adjustRightInd w:val="0"/>
      <w:spacing w:line="280" w:lineRule="atLeast"/>
      <w:jc w:val="both"/>
      <w:textAlignment w:val="baseline"/>
    </w:pPr>
    <w:rPr>
      <w:szCs w:val="20"/>
      <w:lang w:val="en-US" w:eastAsia="en-US"/>
    </w:rPr>
  </w:style>
  <w:style w:type="paragraph" w:styleId="NormalIndent">
    <w:name w:val="Normal Indent"/>
    <w:basedOn w:val="Normal"/>
    <w:pPr>
      <w:spacing w:after="180" w:line="288" w:lineRule="auto"/>
      <w:ind w:left="709"/>
    </w:pPr>
    <w:rPr>
      <w:rFonts w:ascii="Arial" w:hAnsi="Arial"/>
      <w:noProof/>
      <w:sz w:val="20"/>
      <w:szCs w:val="20"/>
      <w:lang w:eastAsia="en-US"/>
    </w:rPr>
  </w:style>
  <w:style w:type="paragraph" w:customStyle="1" w:styleId="NormalBefore3pt">
    <w:name w:val="Normal + Before:  3 pt"/>
    <w:aliases w:val="After:  0 pt"/>
    <w:basedOn w:val="Normal"/>
    <w:pPr>
      <w:autoSpaceDE w:val="0"/>
      <w:autoSpaceDN w:val="0"/>
      <w:adjustRightInd w:val="0"/>
    </w:pPr>
    <w:rPr>
      <w:rFonts w:ascii="Arial" w:hAnsi="Arial"/>
      <w:sz w:val="20"/>
      <w:szCs w:val="20"/>
      <w:lang w:eastAsia="en-US"/>
    </w:rPr>
  </w:style>
  <w:style w:type="paragraph" w:customStyle="1" w:styleId="BodyText-CEA">
    <w:name w:val="Body Text - CEA"/>
    <w:basedOn w:val="Normal"/>
    <w:autoRedefine/>
    <w:pPr>
      <w:jc w:val="both"/>
    </w:pPr>
    <w:rPr>
      <w:rFonts w:ascii="Verdana" w:hAnsi="Verdana"/>
      <w:sz w:val="22"/>
      <w:szCs w:val="22"/>
    </w:rPr>
  </w:style>
  <w:style w:type="paragraph" w:customStyle="1" w:styleId="Heading2-CEA">
    <w:name w:val="Heading 2 - CEA"/>
    <w:basedOn w:val="Normal"/>
    <w:pPr>
      <w:overflowPunct w:val="0"/>
      <w:autoSpaceDE w:val="0"/>
      <w:autoSpaceDN w:val="0"/>
      <w:adjustRightInd w:val="0"/>
      <w:jc w:val="both"/>
      <w:textAlignment w:val="baseline"/>
    </w:pPr>
    <w:rPr>
      <w:rFonts w:ascii="Frutiger LT Com 45 Light" w:hAnsi="Frutiger LT Com 45 Light"/>
      <w:b/>
      <w:lang w:eastAsia="fr-FR"/>
    </w:rPr>
  </w:style>
  <w:style w:type="paragraph" w:customStyle="1" w:styleId="ACbodynormal">
    <w:name w:val="AC body normal"/>
    <w:pPr>
      <w:spacing w:before="100" w:after="100" w:line="200" w:lineRule="atLeast"/>
    </w:pPr>
    <w:rPr>
      <w:sz w:val="21"/>
      <w:lang w:val="en-GB" w:eastAsia="en-US"/>
    </w:rPr>
  </w:style>
  <w:style w:type="character" w:customStyle="1" w:styleId="Heading1-CEACharCharCharCharCharCharCharCharCharCharCharChar">
    <w:name w:val="Heading 1 - CEA Char Char Char Char Char Char Char Char Char Char Char Char"/>
    <w:link w:val="Heading1-CEACharCharCharCharCharCharCharCharCharCharChar"/>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
    <w:link w:val="Heading1-CEACharCharCharCharCharCharCharCharCharCharCharChar"/>
    <w:autoRedefine/>
    <w:pPr>
      <w:overflowPunct w:val="0"/>
      <w:autoSpaceDE w:val="0"/>
      <w:autoSpaceDN w:val="0"/>
      <w:adjustRightInd w:val="0"/>
      <w:jc w:val="both"/>
      <w:textAlignment w:val="baseline"/>
    </w:pPr>
    <w:rPr>
      <w:rFonts w:ascii="Frutiger LT Com 45 Light" w:hAnsi="Frutiger LT Com 45 Light"/>
      <w:b/>
      <w:color w:val="034EA2"/>
      <w:sz w:val="28"/>
      <w:szCs w:val="28"/>
      <w:lang w:eastAsia="fr-FR"/>
    </w:rPr>
  </w:style>
  <w:style w:type="paragraph" w:customStyle="1" w:styleId="List1-CEA">
    <w:name w:val="List 1 -  CEA"/>
    <w:basedOn w:val="Normal"/>
    <w:autoRedefine/>
    <w:pPr>
      <w:autoSpaceDE w:val="0"/>
      <w:autoSpaceDN w:val="0"/>
      <w:adjustRightInd w:val="0"/>
      <w:jc w:val="both"/>
    </w:pPr>
    <w:rPr>
      <w:rFonts w:ascii="Frutiger LT Com 45 Light" w:hAnsi="Frutiger LT Com 45 Light"/>
      <w:sz w:val="20"/>
      <w:szCs w:val="20"/>
      <w:lang w:eastAsia="en-US"/>
    </w:rPr>
  </w:style>
  <w:style w:type="paragraph" w:customStyle="1" w:styleId="Heading1-CEA">
    <w:name w:val="Heading 1 - CEA"/>
    <w:basedOn w:val="Normal"/>
    <w:autoRedefine/>
    <w:pPr>
      <w:autoSpaceDE w:val="0"/>
      <w:autoSpaceDN w:val="0"/>
      <w:adjustRightInd w:val="0"/>
    </w:pPr>
    <w:rPr>
      <w:rFonts w:ascii="Frutiger LT Com 45 Light" w:hAnsi="Frutiger LT Com 45 Light"/>
      <w:b/>
      <w:color w:val="034EA2"/>
      <w:sz w:val="28"/>
      <w:szCs w:val="28"/>
      <w:lang w:eastAsia="en-US"/>
    </w:rPr>
  </w:style>
  <w:style w:type="paragraph" w:customStyle="1" w:styleId="Text">
    <w:name w:val="Text"/>
    <w:basedOn w:val="Normal"/>
    <w:pPr>
      <w:tabs>
        <w:tab w:val="left" w:pos="284"/>
      </w:tabs>
      <w:overflowPunct w:val="0"/>
      <w:autoSpaceDE w:val="0"/>
      <w:autoSpaceDN w:val="0"/>
      <w:adjustRightInd w:val="0"/>
      <w:spacing w:after="260"/>
      <w:jc w:val="both"/>
      <w:textAlignment w:val="baseline"/>
    </w:pPr>
    <w:rPr>
      <w:sz w:val="22"/>
      <w:szCs w:val="20"/>
      <w:lang w:eastAsia="en-US"/>
    </w:rPr>
  </w:style>
  <w:style w:type="paragraph" w:customStyle="1" w:styleId="Bullet">
    <w:name w:val="Bullet"/>
    <w:basedOn w:val="Normal"/>
    <w:pPr>
      <w:numPr>
        <w:numId w:val="3"/>
      </w:numPr>
      <w:tabs>
        <w:tab w:val="left" w:pos="284"/>
      </w:tabs>
      <w:overflowPunct w:val="0"/>
      <w:autoSpaceDE w:val="0"/>
      <w:autoSpaceDN w:val="0"/>
      <w:adjustRightInd w:val="0"/>
      <w:spacing w:after="260"/>
      <w:jc w:val="both"/>
      <w:textAlignment w:val="baseline"/>
    </w:pPr>
    <w:rPr>
      <w:sz w:val="22"/>
      <w:szCs w:val="20"/>
      <w:lang w:eastAsia="en-US"/>
    </w:rPr>
  </w:style>
  <w:style w:type="paragraph" w:customStyle="1" w:styleId="a">
    <w:name w:val="(a)"/>
    <w:basedOn w:val="BodyText"/>
    <w:pPr>
      <w:spacing w:after="240"/>
      <w:ind w:left="720" w:hanging="720"/>
      <w:jc w:val="both"/>
    </w:pPr>
    <w:rPr>
      <w:lang w:val="en-GB" w:eastAsia="en-US"/>
    </w:rPr>
  </w:style>
  <w:style w:type="paragraph" w:customStyle="1" w:styleId="i">
    <w:name w:val="(i)"/>
    <w:basedOn w:val="BodyText"/>
    <w:pPr>
      <w:tabs>
        <w:tab w:val="right" w:pos="1296"/>
      </w:tabs>
      <w:spacing w:after="240"/>
      <w:ind w:left="1440" w:hanging="1440"/>
      <w:jc w:val="both"/>
    </w:pPr>
    <w:rPr>
      <w:lang w:val="en-GB"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rPr>
      <w:sz w:val="20"/>
      <w:szCs w:val="20"/>
      <w:lang w:val="de-DE"/>
    </w:rPr>
  </w:style>
  <w:style w:type="paragraph" w:styleId="CommentSubject">
    <w:name w:val="annotation subject"/>
    <w:basedOn w:val="CommentText"/>
    <w:next w:val="CommentText"/>
    <w:semiHidden/>
    <w:rPr>
      <w:b/>
      <w:bCs/>
    </w:rPr>
  </w:style>
  <w:style w:type="paragraph" w:customStyle="1" w:styleId="DocTitle">
    <w:name w:val="DocTitle"/>
    <w:basedOn w:val="Normal"/>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eastAsia="ja-JP"/>
    </w:rPr>
  </w:style>
  <w:style w:type="paragraph" w:customStyle="1" w:styleId="Paragraph">
    <w:name w:val="Paragraph"/>
    <w:basedOn w:val="Normal"/>
    <w:pPr>
      <w:spacing w:after="120"/>
      <w:jc w:val="both"/>
    </w:pPr>
    <w:rPr>
      <w:rFonts w:ascii="Arial" w:eastAsia="Arial Unicode MS" w:hAnsi="Arial"/>
      <w:sz w:val="18"/>
      <w:szCs w:val="18"/>
      <w:lang w:eastAsia="nl-NL"/>
    </w:rPr>
  </w:style>
  <w:style w:type="paragraph" w:customStyle="1" w:styleId="Numberedparagraph">
    <w:name w:val="Numbered paragraph"/>
    <w:pPr>
      <w:numPr>
        <w:numId w:val="4"/>
      </w:numPr>
      <w:spacing w:after="240" w:line="280" w:lineRule="atLeast"/>
      <w:jc w:val="both"/>
    </w:pPr>
    <w:rPr>
      <w:rFonts w:ascii="Arial" w:hAnsi="Arial"/>
      <w:sz w:val="22"/>
      <w:lang w:val="en-GB" w:eastAsia="en-US"/>
    </w:rPr>
  </w:style>
  <w:style w:type="paragraph" w:customStyle="1" w:styleId="QISIndentCharCharChar">
    <w:name w:val="QISIndent Char Char Char"/>
    <w:basedOn w:val="Normal"/>
    <w:pPr>
      <w:spacing w:after="240"/>
      <w:ind w:left="1134"/>
      <w:jc w:val="both"/>
    </w:pPr>
    <w:rPr>
      <w:rFonts w:ascii="Verdana" w:eastAsia="MS Mincho" w:hAnsi="Verdana"/>
      <w:sz w:val="22"/>
      <w:szCs w:val="20"/>
      <w:lang w:eastAsia="ja-JP"/>
    </w:rPr>
  </w:style>
  <w:style w:type="paragraph" w:customStyle="1" w:styleId="QISTextCharCharCharCharCharCharCharCharCharCharCharCharChar1CharChar">
    <w:name w:val="QISText Char Char Char Char Char Char Char Char Char Char Char Char Char1 Char Char"/>
    <w:basedOn w:val="Normal"/>
    <w:pPr>
      <w:numPr>
        <w:ilvl w:val="1"/>
        <w:numId w:val="5"/>
      </w:numPr>
      <w:spacing w:after="240"/>
      <w:jc w:val="both"/>
    </w:pPr>
    <w:rPr>
      <w:rFonts w:ascii="Verdana" w:eastAsia="MS Mincho" w:hAnsi="Verdana"/>
      <w:sz w:val="22"/>
      <w:szCs w:val="22"/>
      <w:lang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Pr>
      <w:lang w:val="de-DE" w:eastAsia="de-DE"/>
    </w:rPr>
  </w:style>
  <w:style w:type="paragraph" w:customStyle="1" w:styleId="ListParagraph1">
    <w:name w:val="List Paragraph1"/>
    <w:basedOn w:val="Normal"/>
    <w:uiPriority w:val="34"/>
    <w:qFormat/>
    <w:pPr>
      <w:ind w:left="708"/>
    </w:pPr>
    <w:rPr>
      <w:lang w:eastAsia="en-GB"/>
    </w:rPr>
  </w:style>
  <w:style w:type="character" w:customStyle="1" w:styleId="BodyTextChar">
    <w:name w:val="Body Text Char"/>
    <w:link w:val="BodyText"/>
    <w:uiPriority w:val="99"/>
    <w:rPr>
      <w:sz w:val="24"/>
      <w:szCs w:val="24"/>
      <w:lang w:val="de-DE" w:eastAsia="de-DE"/>
    </w:rPr>
  </w:style>
  <w:style w:type="character" w:styleId="Strong">
    <w:name w:val="Strong"/>
    <w:uiPriority w:val="22"/>
    <w:qFormat/>
    <w:rPr>
      <w:b/>
      <w:bCs/>
    </w:rPr>
  </w:style>
  <w:style w:type="character" w:customStyle="1" w:styleId="FooterChar">
    <w:name w:val="Footer Char"/>
    <w:link w:val="Footer"/>
    <w:uiPriority w:val="99"/>
    <w:rPr>
      <w:sz w:val="24"/>
      <w:szCs w:val="24"/>
      <w:lang w:val="de-DE" w:eastAsia="de-DE"/>
    </w:rPr>
  </w:style>
  <w:style w:type="paragraph" w:customStyle="1" w:styleId="04aNumeration">
    <w:name w:val="04a_Numeration"/>
    <w:basedOn w:val="Normal"/>
    <w:uiPriority w:val="99"/>
    <w:pPr>
      <w:numPr>
        <w:numId w:val="7"/>
      </w:numPr>
      <w:spacing w:after="250" w:line="276" w:lineRule="auto"/>
      <w:jc w:val="both"/>
    </w:pPr>
    <w:rPr>
      <w:rFonts w:ascii="Georgia" w:hAnsi="Georgia"/>
      <w:szCs w:val="20"/>
    </w:rPr>
  </w:style>
  <w:style w:type="paragraph" w:customStyle="1" w:styleId="ManualNumPar1">
    <w:name w:val="Manual NumPar 1"/>
    <w:basedOn w:val="Normal"/>
    <w:next w:val="Normal"/>
    <w:link w:val="ManualNumPar1Char"/>
    <w:pPr>
      <w:spacing w:before="120" w:after="120"/>
      <w:ind w:left="850" w:hanging="850"/>
      <w:jc w:val="both"/>
    </w:pPr>
  </w:style>
  <w:style w:type="character" w:customStyle="1" w:styleId="ManualNumPar1Char">
    <w:name w:val="Manual NumPar 1 Char"/>
    <w:link w:val="ManualNumPar1"/>
    <w:rPr>
      <w:sz w:val="24"/>
      <w:szCs w:val="24"/>
      <w:lang w:eastAsia="de-DE"/>
    </w:rPr>
  </w:style>
  <w:style w:type="paragraph" w:customStyle="1" w:styleId="Chapter">
    <w:name w:val="Chapter"/>
    <w:basedOn w:val="Normal"/>
    <w:next w:val="Normal"/>
    <w:pPr>
      <w:keepNext/>
      <w:numPr>
        <w:ilvl w:val="1"/>
        <w:numId w:val="10"/>
      </w:numPr>
      <w:spacing w:before="480" w:after="240"/>
      <w:contextualSpacing/>
      <w:jc w:val="center"/>
      <w:outlineLvl w:val="1"/>
    </w:pPr>
    <w:rPr>
      <w:b/>
      <w:lang w:eastAsia="en-US"/>
    </w:rPr>
  </w:style>
  <w:style w:type="paragraph" w:customStyle="1" w:styleId="Article">
    <w:name w:val="Article"/>
    <w:basedOn w:val="Normal"/>
    <w:next w:val="Normal"/>
    <w:pPr>
      <w:keepNext/>
      <w:numPr>
        <w:ilvl w:val="2"/>
        <w:numId w:val="10"/>
      </w:numPr>
      <w:spacing w:after="240"/>
      <w:contextualSpacing/>
      <w:outlineLvl w:val="2"/>
    </w:pPr>
    <w:rPr>
      <w:b/>
      <w:lang w:eastAsia="en-US"/>
    </w:rPr>
  </w:style>
  <w:style w:type="numbering" w:customStyle="1" w:styleId="Decision">
    <w:name w:val="Decision"/>
    <w:basedOn w:val="NoList"/>
    <w:pPr>
      <w:numPr>
        <w:numId w:val="37"/>
      </w:numPr>
    </w:pPr>
  </w:style>
  <w:style w:type="paragraph" w:customStyle="1" w:styleId="Titles">
    <w:name w:val="Titles"/>
    <w:basedOn w:val="Normal"/>
    <w:next w:val="Chapter"/>
    <w:pPr>
      <w:keepNext/>
      <w:numPr>
        <w:numId w:val="10"/>
      </w:numPr>
      <w:spacing w:before="480" w:after="240"/>
      <w:contextualSpacing/>
      <w:jc w:val="center"/>
      <w:outlineLvl w:val="0"/>
    </w:pPr>
    <w:rPr>
      <w:b/>
      <w:caps/>
      <w:lang w:eastAsia="en-US"/>
    </w:rPr>
  </w:style>
  <w:style w:type="paragraph" w:customStyle="1" w:styleId="Para1">
    <w:name w:val="Para 1."/>
    <w:basedOn w:val="Normal"/>
    <w:pPr>
      <w:numPr>
        <w:ilvl w:val="3"/>
        <w:numId w:val="10"/>
      </w:numPr>
      <w:spacing w:after="240"/>
      <w:outlineLvl w:val="3"/>
    </w:pPr>
    <w:rPr>
      <w:lang w:eastAsia="en-US"/>
    </w:rPr>
  </w:style>
  <w:style w:type="paragraph" w:customStyle="1" w:styleId="Sub-paraa">
    <w:name w:val="Sub-para (a)"/>
    <w:basedOn w:val="Normal"/>
    <w:pPr>
      <w:numPr>
        <w:ilvl w:val="4"/>
        <w:numId w:val="10"/>
      </w:numPr>
      <w:spacing w:after="240"/>
      <w:outlineLvl w:val="4"/>
    </w:pPr>
    <w:rPr>
      <w:lang w:eastAsia="en-US"/>
    </w:rPr>
  </w:style>
  <w:style w:type="paragraph" w:customStyle="1" w:styleId="Sub-parai">
    <w:name w:val="Sub-para (i)"/>
    <w:basedOn w:val="Normal"/>
    <w:pPr>
      <w:numPr>
        <w:ilvl w:val="5"/>
        <w:numId w:val="10"/>
      </w:numPr>
      <w:spacing w:after="240"/>
      <w:outlineLvl w:val="5"/>
    </w:pPr>
    <w:rPr>
      <w:lang w:eastAsia="en-US"/>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link w:val="PlainText"/>
    <w:uiPriority w:val="99"/>
    <w:rPr>
      <w:rFonts w:ascii="Calibri" w:hAnsi="Calibri"/>
      <w:sz w:val="22"/>
      <w:szCs w:val="21"/>
    </w:rPr>
  </w:style>
  <w:style w:type="paragraph" w:customStyle="1" w:styleId="Normale1">
    <w:name w:val="Normale1"/>
    <w:basedOn w:val="Normal"/>
    <w:pPr>
      <w:widowControl w:val="0"/>
    </w:pPr>
    <w:rPr>
      <w:rFonts w:ascii="Arial" w:eastAsia="Arial" w:hAnsi="Arial" w:cs="Arial"/>
      <w:sz w:val="22"/>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972">
      <w:bodyDiv w:val="1"/>
      <w:marLeft w:val="0"/>
      <w:marRight w:val="0"/>
      <w:marTop w:val="0"/>
      <w:marBottom w:val="0"/>
      <w:divBdr>
        <w:top w:val="none" w:sz="0" w:space="0" w:color="auto"/>
        <w:left w:val="none" w:sz="0" w:space="0" w:color="auto"/>
        <w:bottom w:val="none" w:sz="0" w:space="0" w:color="auto"/>
        <w:right w:val="none" w:sz="0" w:space="0" w:color="auto"/>
      </w:divBdr>
    </w:div>
    <w:div w:id="22294616">
      <w:bodyDiv w:val="1"/>
      <w:marLeft w:val="0"/>
      <w:marRight w:val="0"/>
      <w:marTop w:val="0"/>
      <w:marBottom w:val="0"/>
      <w:divBdr>
        <w:top w:val="none" w:sz="0" w:space="0" w:color="auto"/>
        <w:left w:val="none" w:sz="0" w:space="0" w:color="auto"/>
        <w:bottom w:val="none" w:sz="0" w:space="0" w:color="auto"/>
        <w:right w:val="none" w:sz="0" w:space="0" w:color="auto"/>
      </w:divBdr>
    </w:div>
    <w:div w:id="93791319">
      <w:bodyDiv w:val="1"/>
      <w:marLeft w:val="0"/>
      <w:marRight w:val="0"/>
      <w:marTop w:val="0"/>
      <w:marBottom w:val="0"/>
      <w:divBdr>
        <w:top w:val="none" w:sz="0" w:space="0" w:color="auto"/>
        <w:left w:val="none" w:sz="0" w:space="0" w:color="auto"/>
        <w:bottom w:val="none" w:sz="0" w:space="0" w:color="auto"/>
        <w:right w:val="none" w:sz="0" w:space="0" w:color="auto"/>
      </w:divBdr>
    </w:div>
    <w:div w:id="204611273">
      <w:bodyDiv w:val="1"/>
      <w:marLeft w:val="0"/>
      <w:marRight w:val="0"/>
      <w:marTop w:val="0"/>
      <w:marBottom w:val="0"/>
      <w:divBdr>
        <w:top w:val="none" w:sz="0" w:space="0" w:color="auto"/>
        <w:left w:val="none" w:sz="0" w:space="0" w:color="auto"/>
        <w:bottom w:val="none" w:sz="0" w:space="0" w:color="auto"/>
        <w:right w:val="none" w:sz="0" w:space="0" w:color="auto"/>
      </w:divBdr>
    </w:div>
    <w:div w:id="231041290">
      <w:bodyDiv w:val="1"/>
      <w:marLeft w:val="0"/>
      <w:marRight w:val="0"/>
      <w:marTop w:val="0"/>
      <w:marBottom w:val="0"/>
      <w:divBdr>
        <w:top w:val="none" w:sz="0" w:space="0" w:color="auto"/>
        <w:left w:val="none" w:sz="0" w:space="0" w:color="auto"/>
        <w:bottom w:val="none" w:sz="0" w:space="0" w:color="auto"/>
        <w:right w:val="none" w:sz="0" w:space="0" w:color="auto"/>
      </w:divBdr>
    </w:div>
    <w:div w:id="400375158">
      <w:bodyDiv w:val="1"/>
      <w:marLeft w:val="0"/>
      <w:marRight w:val="0"/>
      <w:marTop w:val="0"/>
      <w:marBottom w:val="0"/>
      <w:divBdr>
        <w:top w:val="none" w:sz="0" w:space="0" w:color="auto"/>
        <w:left w:val="none" w:sz="0" w:space="0" w:color="auto"/>
        <w:bottom w:val="none" w:sz="0" w:space="0" w:color="auto"/>
        <w:right w:val="none" w:sz="0" w:space="0" w:color="auto"/>
      </w:divBdr>
    </w:div>
    <w:div w:id="425618651">
      <w:bodyDiv w:val="1"/>
      <w:marLeft w:val="0"/>
      <w:marRight w:val="0"/>
      <w:marTop w:val="0"/>
      <w:marBottom w:val="0"/>
      <w:divBdr>
        <w:top w:val="none" w:sz="0" w:space="0" w:color="auto"/>
        <w:left w:val="none" w:sz="0" w:space="0" w:color="auto"/>
        <w:bottom w:val="none" w:sz="0" w:space="0" w:color="auto"/>
        <w:right w:val="none" w:sz="0" w:space="0" w:color="auto"/>
      </w:divBdr>
    </w:div>
    <w:div w:id="480922357">
      <w:bodyDiv w:val="1"/>
      <w:marLeft w:val="0"/>
      <w:marRight w:val="0"/>
      <w:marTop w:val="0"/>
      <w:marBottom w:val="0"/>
      <w:divBdr>
        <w:top w:val="none" w:sz="0" w:space="0" w:color="auto"/>
        <w:left w:val="none" w:sz="0" w:space="0" w:color="auto"/>
        <w:bottom w:val="none" w:sz="0" w:space="0" w:color="auto"/>
        <w:right w:val="none" w:sz="0" w:space="0" w:color="auto"/>
      </w:divBdr>
    </w:div>
    <w:div w:id="528766029">
      <w:bodyDiv w:val="1"/>
      <w:marLeft w:val="0"/>
      <w:marRight w:val="0"/>
      <w:marTop w:val="0"/>
      <w:marBottom w:val="0"/>
      <w:divBdr>
        <w:top w:val="none" w:sz="0" w:space="0" w:color="auto"/>
        <w:left w:val="none" w:sz="0" w:space="0" w:color="auto"/>
        <w:bottom w:val="none" w:sz="0" w:space="0" w:color="auto"/>
        <w:right w:val="none" w:sz="0" w:space="0" w:color="auto"/>
      </w:divBdr>
    </w:div>
    <w:div w:id="550964629">
      <w:bodyDiv w:val="1"/>
      <w:marLeft w:val="0"/>
      <w:marRight w:val="0"/>
      <w:marTop w:val="0"/>
      <w:marBottom w:val="0"/>
      <w:divBdr>
        <w:top w:val="none" w:sz="0" w:space="0" w:color="auto"/>
        <w:left w:val="none" w:sz="0" w:space="0" w:color="auto"/>
        <w:bottom w:val="none" w:sz="0" w:space="0" w:color="auto"/>
        <w:right w:val="none" w:sz="0" w:space="0" w:color="auto"/>
      </w:divBdr>
    </w:div>
    <w:div w:id="687561271">
      <w:bodyDiv w:val="1"/>
      <w:marLeft w:val="0"/>
      <w:marRight w:val="0"/>
      <w:marTop w:val="0"/>
      <w:marBottom w:val="0"/>
      <w:divBdr>
        <w:top w:val="none" w:sz="0" w:space="0" w:color="auto"/>
        <w:left w:val="none" w:sz="0" w:space="0" w:color="auto"/>
        <w:bottom w:val="none" w:sz="0" w:space="0" w:color="auto"/>
        <w:right w:val="none" w:sz="0" w:space="0" w:color="auto"/>
      </w:divBdr>
    </w:div>
    <w:div w:id="722556800">
      <w:bodyDiv w:val="1"/>
      <w:marLeft w:val="0"/>
      <w:marRight w:val="0"/>
      <w:marTop w:val="0"/>
      <w:marBottom w:val="0"/>
      <w:divBdr>
        <w:top w:val="none" w:sz="0" w:space="0" w:color="auto"/>
        <w:left w:val="none" w:sz="0" w:space="0" w:color="auto"/>
        <w:bottom w:val="none" w:sz="0" w:space="0" w:color="auto"/>
        <w:right w:val="none" w:sz="0" w:space="0" w:color="auto"/>
      </w:divBdr>
    </w:div>
    <w:div w:id="777067847">
      <w:bodyDiv w:val="1"/>
      <w:marLeft w:val="0"/>
      <w:marRight w:val="0"/>
      <w:marTop w:val="0"/>
      <w:marBottom w:val="0"/>
      <w:divBdr>
        <w:top w:val="none" w:sz="0" w:space="0" w:color="auto"/>
        <w:left w:val="none" w:sz="0" w:space="0" w:color="auto"/>
        <w:bottom w:val="none" w:sz="0" w:space="0" w:color="auto"/>
        <w:right w:val="none" w:sz="0" w:space="0" w:color="auto"/>
      </w:divBdr>
    </w:div>
    <w:div w:id="804928461">
      <w:bodyDiv w:val="1"/>
      <w:marLeft w:val="0"/>
      <w:marRight w:val="0"/>
      <w:marTop w:val="0"/>
      <w:marBottom w:val="0"/>
      <w:divBdr>
        <w:top w:val="none" w:sz="0" w:space="0" w:color="auto"/>
        <w:left w:val="none" w:sz="0" w:space="0" w:color="auto"/>
        <w:bottom w:val="none" w:sz="0" w:space="0" w:color="auto"/>
        <w:right w:val="none" w:sz="0" w:space="0" w:color="auto"/>
      </w:divBdr>
    </w:div>
    <w:div w:id="811561489">
      <w:bodyDiv w:val="1"/>
      <w:marLeft w:val="0"/>
      <w:marRight w:val="0"/>
      <w:marTop w:val="0"/>
      <w:marBottom w:val="0"/>
      <w:divBdr>
        <w:top w:val="none" w:sz="0" w:space="0" w:color="auto"/>
        <w:left w:val="none" w:sz="0" w:space="0" w:color="auto"/>
        <w:bottom w:val="none" w:sz="0" w:space="0" w:color="auto"/>
        <w:right w:val="none" w:sz="0" w:space="0" w:color="auto"/>
      </w:divBdr>
    </w:div>
    <w:div w:id="816530431">
      <w:bodyDiv w:val="1"/>
      <w:marLeft w:val="0"/>
      <w:marRight w:val="0"/>
      <w:marTop w:val="0"/>
      <w:marBottom w:val="0"/>
      <w:divBdr>
        <w:top w:val="none" w:sz="0" w:space="0" w:color="auto"/>
        <w:left w:val="none" w:sz="0" w:space="0" w:color="auto"/>
        <w:bottom w:val="none" w:sz="0" w:space="0" w:color="auto"/>
        <w:right w:val="none" w:sz="0" w:space="0" w:color="auto"/>
      </w:divBdr>
    </w:div>
    <w:div w:id="872230780">
      <w:bodyDiv w:val="1"/>
      <w:marLeft w:val="0"/>
      <w:marRight w:val="0"/>
      <w:marTop w:val="0"/>
      <w:marBottom w:val="0"/>
      <w:divBdr>
        <w:top w:val="none" w:sz="0" w:space="0" w:color="auto"/>
        <w:left w:val="none" w:sz="0" w:space="0" w:color="auto"/>
        <w:bottom w:val="none" w:sz="0" w:space="0" w:color="auto"/>
        <w:right w:val="none" w:sz="0" w:space="0" w:color="auto"/>
      </w:divBdr>
    </w:div>
    <w:div w:id="908270767">
      <w:bodyDiv w:val="1"/>
      <w:marLeft w:val="0"/>
      <w:marRight w:val="0"/>
      <w:marTop w:val="0"/>
      <w:marBottom w:val="0"/>
      <w:divBdr>
        <w:top w:val="none" w:sz="0" w:space="0" w:color="auto"/>
        <w:left w:val="none" w:sz="0" w:space="0" w:color="auto"/>
        <w:bottom w:val="none" w:sz="0" w:space="0" w:color="auto"/>
        <w:right w:val="none" w:sz="0" w:space="0" w:color="auto"/>
      </w:divBdr>
    </w:div>
    <w:div w:id="911505009">
      <w:bodyDiv w:val="1"/>
      <w:marLeft w:val="0"/>
      <w:marRight w:val="0"/>
      <w:marTop w:val="0"/>
      <w:marBottom w:val="0"/>
      <w:divBdr>
        <w:top w:val="none" w:sz="0" w:space="0" w:color="auto"/>
        <w:left w:val="none" w:sz="0" w:space="0" w:color="auto"/>
        <w:bottom w:val="none" w:sz="0" w:space="0" w:color="auto"/>
        <w:right w:val="none" w:sz="0" w:space="0" w:color="auto"/>
      </w:divBdr>
    </w:div>
    <w:div w:id="1011223567">
      <w:bodyDiv w:val="1"/>
      <w:marLeft w:val="0"/>
      <w:marRight w:val="0"/>
      <w:marTop w:val="0"/>
      <w:marBottom w:val="0"/>
      <w:divBdr>
        <w:top w:val="none" w:sz="0" w:space="0" w:color="auto"/>
        <w:left w:val="none" w:sz="0" w:space="0" w:color="auto"/>
        <w:bottom w:val="none" w:sz="0" w:space="0" w:color="auto"/>
        <w:right w:val="none" w:sz="0" w:space="0" w:color="auto"/>
      </w:divBdr>
    </w:div>
    <w:div w:id="1032223970">
      <w:bodyDiv w:val="1"/>
      <w:marLeft w:val="0"/>
      <w:marRight w:val="0"/>
      <w:marTop w:val="0"/>
      <w:marBottom w:val="0"/>
      <w:divBdr>
        <w:top w:val="none" w:sz="0" w:space="0" w:color="auto"/>
        <w:left w:val="none" w:sz="0" w:space="0" w:color="auto"/>
        <w:bottom w:val="none" w:sz="0" w:space="0" w:color="auto"/>
        <w:right w:val="none" w:sz="0" w:space="0" w:color="auto"/>
      </w:divBdr>
    </w:div>
    <w:div w:id="1049839986">
      <w:bodyDiv w:val="1"/>
      <w:marLeft w:val="0"/>
      <w:marRight w:val="0"/>
      <w:marTop w:val="0"/>
      <w:marBottom w:val="0"/>
      <w:divBdr>
        <w:top w:val="none" w:sz="0" w:space="0" w:color="auto"/>
        <w:left w:val="none" w:sz="0" w:space="0" w:color="auto"/>
        <w:bottom w:val="none" w:sz="0" w:space="0" w:color="auto"/>
        <w:right w:val="none" w:sz="0" w:space="0" w:color="auto"/>
      </w:divBdr>
    </w:div>
    <w:div w:id="1061368649">
      <w:bodyDiv w:val="1"/>
      <w:marLeft w:val="0"/>
      <w:marRight w:val="0"/>
      <w:marTop w:val="0"/>
      <w:marBottom w:val="0"/>
      <w:divBdr>
        <w:top w:val="none" w:sz="0" w:space="0" w:color="auto"/>
        <w:left w:val="none" w:sz="0" w:space="0" w:color="auto"/>
        <w:bottom w:val="none" w:sz="0" w:space="0" w:color="auto"/>
        <w:right w:val="none" w:sz="0" w:space="0" w:color="auto"/>
      </w:divBdr>
    </w:div>
    <w:div w:id="1104499142">
      <w:bodyDiv w:val="1"/>
      <w:marLeft w:val="0"/>
      <w:marRight w:val="0"/>
      <w:marTop w:val="0"/>
      <w:marBottom w:val="0"/>
      <w:divBdr>
        <w:top w:val="none" w:sz="0" w:space="0" w:color="auto"/>
        <w:left w:val="none" w:sz="0" w:space="0" w:color="auto"/>
        <w:bottom w:val="none" w:sz="0" w:space="0" w:color="auto"/>
        <w:right w:val="none" w:sz="0" w:space="0" w:color="auto"/>
      </w:divBdr>
    </w:div>
    <w:div w:id="1112096020">
      <w:bodyDiv w:val="1"/>
      <w:marLeft w:val="0"/>
      <w:marRight w:val="0"/>
      <w:marTop w:val="0"/>
      <w:marBottom w:val="0"/>
      <w:divBdr>
        <w:top w:val="none" w:sz="0" w:space="0" w:color="auto"/>
        <w:left w:val="none" w:sz="0" w:space="0" w:color="auto"/>
        <w:bottom w:val="none" w:sz="0" w:space="0" w:color="auto"/>
        <w:right w:val="none" w:sz="0" w:space="0" w:color="auto"/>
      </w:divBdr>
    </w:div>
    <w:div w:id="1163857851">
      <w:bodyDiv w:val="1"/>
      <w:marLeft w:val="0"/>
      <w:marRight w:val="0"/>
      <w:marTop w:val="0"/>
      <w:marBottom w:val="0"/>
      <w:divBdr>
        <w:top w:val="none" w:sz="0" w:space="0" w:color="auto"/>
        <w:left w:val="none" w:sz="0" w:space="0" w:color="auto"/>
        <w:bottom w:val="none" w:sz="0" w:space="0" w:color="auto"/>
        <w:right w:val="none" w:sz="0" w:space="0" w:color="auto"/>
      </w:divBdr>
      <w:divsChild>
        <w:div w:id="1801073182">
          <w:marLeft w:val="0"/>
          <w:marRight w:val="0"/>
          <w:marTop w:val="0"/>
          <w:marBottom w:val="0"/>
          <w:divBdr>
            <w:top w:val="none" w:sz="0" w:space="0" w:color="auto"/>
            <w:left w:val="none" w:sz="0" w:space="0" w:color="auto"/>
            <w:bottom w:val="none" w:sz="0" w:space="0" w:color="auto"/>
            <w:right w:val="none" w:sz="0" w:space="0" w:color="auto"/>
          </w:divBdr>
        </w:div>
      </w:divsChild>
    </w:div>
    <w:div w:id="1172909114">
      <w:bodyDiv w:val="1"/>
      <w:marLeft w:val="0"/>
      <w:marRight w:val="0"/>
      <w:marTop w:val="0"/>
      <w:marBottom w:val="0"/>
      <w:divBdr>
        <w:top w:val="none" w:sz="0" w:space="0" w:color="auto"/>
        <w:left w:val="none" w:sz="0" w:space="0" w:color="auto"/>
        <w:bottom w:val="none" w:sz="0" w:space="0" w:color="auto"/>
        <w:right w:val="none" w:sz="0" w:space="0" w:color="auto"/>
      </w:divBdr>
    </w:div>
    <w:div w:id="1184394856">
      <w:bodyDiv w:val="1"/>
      <w:marLeft w:val="0"/>
      <w:marRight w:val="0"/>
      <w:marTop w:val="0"/>
      <w:marBottom w:val="0"/>
      <w:divBdr>
        <w:top w:val="none" w:sz="0" w:space="0" w:color="auto"/>
        <w:left w:val="none" w:sz="0" w:space="0" w:color="auto"/>
        <w:bottom w:val="none" w:sz="0" w:space="0" w:color="auto"/>
        <w:right w:val="none" w:sz="0" w:space="0" w:color="auto"/>
      </w:divBdr>
    </w:div>
    <w:div w:id="1202590468">
      <w:bodyDiv w:val="1"/>
      <w:marLeft w:val="0"/>
      <w:marRight w:val="0"/>
      <w:marTop w:val="0"/>
      <w:marBottom w:val="0"/>
      <w:divBdr>
        <w:top w:val="none" w:sz="0" w:space="0" w:color="auto"/>
        <w:left w:val="none" w:sz="0" w:space="0" w:color="auto"/>
        <w:bottom w:val="none" w:sz="0" w:space="0" w:color="auto"/>
        <w:right w:val="none" w:sz="0" w:space="0" w:color="auto"/>
      </w:divBdr>
    </w:div>
    <w:div w:id="1207253005">
      <w:bodyDiv w:val="1"/>
      <w:marLeft w:val="0"/>
      <w:marRight w:val="0"/>
      <w:marTop w:val="0"/>
      <w:marBottom w:val="0"/>
      <w:divBdr>
        <w:top w:val="none" w:sz="0" w:space="0" w:color="auto"/>
        <w:left w:val="none" w:sz="0" w:space="0" w:color="auto"/>
        <w:bottom w:val="none" w:sz="0" w:space="0" w:color="auto"/>
        <w:right w:val="none" w:sz="0" w:space="0" w:color="auto"/>
      </w:divBdr>
    </w:div>
    <w:div w:id="1224564832">
      <w:bodyDiv w:val="1"/>
      <w:marLeft w:val="0"/>
      <w:marRight w:val="0"/>
      <w:marTop w:val="0"/>
      <w:marBottom w:val="0"/>
      <w:divBdr>
        <w:top w:val="none" w:sz="0" w:space="0" w:color="auto"/>
        <w:left w:val="none" w:sz="0" w:space="0" w:color="auto"/>
        <w:bottom w:val="none" w:sz="0" w:space="0" w:color="auto"/>
        <w:right w:val="none" w:sz="0" w:space="0" w:color="auto"/>
      </w:divBdr>
    </w:div>
    <w:div w:id="1227497882">
      <w:bodyDiv w:val="1"/>
      <w:marLeft w:val="0"/>
      <w:marRight w:val="0"/>
      <w:marTop w:val="0"/>
      <w:marBottom w:val="0"/>
      <w:divBdr>
        <w:top w:val="none" w:sz="0" w:space="0" w:color="auto"/>
        <w:left w:val="none" w:sz="0" w:space="0" w:color="auto"/>
        <w:bottom w:val="none" w:sz="0" w:space="0" w:color="auto"/>
        <w:right w:val="none" w:sz="0" w:space="0" w:color="auto"/>
      </w:divBdr>
    </w:div>
    <w:div w:id="1240484156">
      <w:bodyDiv w:val="1"/>
      <w:marLeft w:val="0"/>
      <w:marRight w:val="0"/>
      <w:marTop w:val="0"/>
      <w:marBottom w:val="0"/>
      <w:divBdr>
        <w:top w:val="none" w:sz="0" w:space="0" w:color="auto"/>
        <w:left w:val="none" w:sz="0" w:space="0" w:color="auto"/>
        <w:bottom w:val="none" w:sz="0" w:space="0" w:color="auto"/>
        <w:right w:val="none" w:sz="0" w:space="0" w:color="auto"/>
      </w:divBdr>
    </w:div>
    <w:div w:id="1261138427">
      <w:bodyDiv w:val="1"/>
      <w:marLeft w:val="0"/>
      <w:marRight w:val="0"/>
      <w:marTop w:val="0"/>
      <w:marBottom w:val="0"/>
      <w:divBdr>
        <w:top w:val="none" w:sz="0" w:space="0" w:color="auto"/>
        <w:left w:val="none" w:sz="0" w:space="0" w:color="auto"/>
        <w:bottom w:val="none" w:sz="0" w:space="0" w:color="auto"/>
        <w:right w:val="none" w:sz="0" w:space="0" w:color="auto"/>
      </w:divBdr>
    </w:div>
    <w:div w:id="1290433620">
      <w:bodyDiv w:val="1"/>
      <w:marLeft w:val="0"/>
      <w:marRight w:val="0"/>
      <w:marTop w:val="0"/>
      <w:marBottom w:val="0"/>
      <w:divBdr>
        <w:top w:val="none" w:sz="0" w:space="0" w:color="auto"/>
        <w:left w:val="none" w:sz="0" w:space="0" w:color="auto"/>
        <w:bottom w:val="none" w:sz="0" w:space="0" w:color="auto"/>
        <w:right w:val="none" w:sz="0" w:space="0" w:color="auto"/>
      </w:divBdr>
    </w:div>
    <w:div w:id="1334643261">
      <w:bodyDiv w:val="1"/>
      <w:marLeft w:val="0"/>
      <w:marRight w:val="0"/>
      <w:marTop w:val="0"/>
      <w:marBottom w:val="0"/>
      <w:divBdr>
        <w:top w:val="none" w:sz="0" w:space="0" w:color="auto"/>
        <w:left w:val="none" w:sz="0" w:space="0" w:color="auto"/>
        <w:bottom w:val="none" w:sz="0" w:space="0" w:color="auto"/>
        <w:right w:val="none" w:sz="0" w:space="0" w:color="auto"/>
      </w:divBdr>
    </w:div>
    <w:div w:id="1334916595">
      <w:bodyDiv w:val="1"/>
      <w:marLeft w:val="0"/>
      <w:marRight w:val="0"/>
      <w:marTop w:val="0"/>
      <w:marBottom w:val="0"/>
      <w:divBdr>
        <w:top w:val="none" w:sz="0" w:space="0" w:color="auto"/>
        <w:left w:val="none" w:sz="0" w:space="0" w:color="auto"/>
        <w:bottom w:val="none" w:sz="0" w:space="0" w:color="auto"/>
        <w:right w:val="none" w:sz="0" w:space="0" w:color="auto"/>
      </w:divBdr>
    </w:div>
    <w:div w:id="1406101729">
      <w:bodyDiv w:val="1"/>
      <w:marLeft w:val="0"/>
      <w:marRight w:val="0"/>
      <w:marTop w:val="0"/>
      <w:marBottom w:val="0"/>
      <w:divBdr>
        <w:top w:val="none" w:sz="0" w:space="0" w:color="auto"/>
        <w:left w:val="none" w:sz="0" w:space="0" w:color="auto"/>
        <w:bottom w:val="none" w:sz="0" w:space="0" w:color="auto"/>
        <w:right w:val="none" w:sz="0" w:space="0" w:color="auto"/>
      </w:divBdr>
    </w:div>
    <w:div w:id="1411152005">
      <w:bodyDiv w:val="1"/>
      <w:marLeft w:val="0"/>
      <w:marRight w:val="0"/>
      <w:marTop w:val="0"/>
      <w:marBottom w:val="0"/>
      <w:divBdr>
        <w:top w:val="none" w:sz="0" w:space="0" w:color="auto"/>
        <w:left w:val="none" w:sz="0" w:space="0" w:color="auto"/>
        <w:bottom w:val="none" w:sz="0" w:space="0" w:color="auto"/>
        <w:right w:val="none" w:sz="0" w:space="0" w:color="auto"/>
      </w:divBdr>
    </w:div>
    <w:div w:id="1444501120">
      <w:bodyDiv w:val="1"/>
      <w:marLeft w:val="0"/>
      <w:marRight w:val="0"/>
      <w:marTop w:val="0"/>
      <w:marBottom w:val="0"/>
      <w:divBdr>
        <w:top w:val="none" w:sz="0" w:space="0" w:color="auto"/>
        <w:left w:val="none" w:sz="0" w:space="0" w:color="auto"/>
        <w:bottom w:val="none" w:sz="0" w:space="0" w:color="auto"/>
        <w:right w:val="none" w:sz="0" w:space="0" w:color="auto"/>
      </w:divBdr>
    </w:div>
    <w:div w:id="1546022190">
      <w:bodyDiv w:val="1"/>
      <w:marLeft w:val="0"/>
      <w:marRight w:val="0"/>
      <w:marTop w:val="0"/>
      <w:marBottom w:val="0"/>
      <w:divBdr>
        <w:top w:val="none" w:sz="0" w:space="0" w:color="auto"/>
        <w:left w:val="none" w:sz="0" w:space="0" w:color="auto"/>
        <w:bottom w:val="none" w:sz="0" w:space="0" w:color="auto"/>
        <w:right w:val="none" w:sz="0" w:space="0" w:color="auto"/>
      </w:divBdr>
    </w:div>
    <w:div w:id="1555308462">
      <w:bodyDiv w:val="1"/>
      <w:marLeft w:val="0"/>
      <w:marRight w:val="0"/>
      <w:marTop w:val="0"/>
      <w:marBottom w:val="0"/>
      <w:divBdr>
        <w:top w:val="none" w:sz="0" w:space="0" w:color="auto"/>
        <w:left w:val="none" w:sz="0" w:space="0" w:color="auto"/>
        <w:bottom w:val="none" w:sz="0" w:space="0" w:color="auto"/>
        <w:right w:val="none" w:sz="0" w:space="0" w:color="auto"/>
      </w:divBdr>
      <w:divsChild>
        <w:div w:id="1039091833">
          <w:marLeft w:val="0"/>
          <w:marRight w:val="0"/>
          <w:marTop w:val="0"/>
          <w:marBottom w:val="0"/>
          <w:divBdr>
            <w:top w:val="none" w:sz="0" w:space="0" w:color="auto"/>
            <w:left w:val="none" w:sz="0" w:space="0" w:color="auto"/>
            <w:bottom w:val="none" w:sz="0" w:space="0" w:color="auto"/>
            <w:right w:val="none" w:sz="0" w:space="0" w:color="auto"/>
          </w:divBdr>
        </w:div>
      </w:divsChild>
    </w:div>
    <w:div w:id="1591308246">
      <w:bodyDiv w:val="1"/>
      <w:marLeft w:val="0"/>
      <w:marRight w:val="0"/>
      <w:marTop w:val="0"/>
      <w:marBottom w:val="0"/>
      <w:divBdr>
        <w:top w:val="none" w:sz="0" w:space="0" w:color="auto"/>
        <w:left w:val="none" w:sz="0" w:space="0" w:color="auto"/>
        <w:bottom w:val="none" w:sz="0" w:space="0" w:color="auto"/>
        <w:right w:val="none" w:sz="0" w:space="0" w:color="auto"/>
      </w:divBdr>
    </w:div>
    <w:div w:id="1595429849">
      <w:bodyDiv w:val="1"/>
      <w:marLeft w:val="0"/>
      <w:marRight w:val="0"/>
      <w:marTop w:val="0"/>
      <w:marBottom w:val="0"/>
      <w:divBdr>
        <w:top w:val="none" w:sz="0" w:space="0" w:color="auto"/>
        <w:left w:val="none" w:sz="0" w:space="0" w:color="auto"/>
        <w:bottom w:val="none" w:sz="0" w:space="0" w:color="auto"/>
        <w:right w:val="none" w:sz="0" w:space="0" w:color="auto"/>
      </w:divBdr>
    </w:div>
    <w:div w:id="1605574962">
      <w:bodyDiv w:val="1"/>
      <w:marLeft w:val="0"/>
      <w:marRight w:val="0"/>
      <w:marTop w:val="0"/>
      <w:marBottom w:val="0"/>
      <w:divBdr>
        <w:top w:val="none" w:sz="0" w:space="0" w:color="auto"/>
        <w:left w:val="none" w:sz="0" w:space="0" w:color="auto"/>
        <w:bottom w:val="none" w:sz="0" w:space="0" w:color="auto"/>
        <w:right w:val="none" w:sz="0" w:space="0" w:color="auto"/>
      </w:divBdr>
    </w:div>
    <w:div w:id="1616717545">
      <w:bodyDiv w:val="1"/>
      <w:marLeft w:val="0"/>
      <w:marRight w:val="0"/>
      <w:marTop w:val="0"/>
      <w:marBottom w:val="0"/>
      <w:divBdr>
        <w:top w:val="none" w:sz="0" w:space="0" w:color="auto"/>
        <w:left w:val="none" w:sz="0" w:space="0" w:color="auto"/>
        <w:bottom w:val="none" w:sz="0" w:space="0" w:color="auto"/>
        <w:right w:val="none" w:sz="0" w:space="0" w:color="auto"/>
      </w:divBdr>
      <w:divsChild>
        <w:div w:id="450049510">
          <w:marLeft w:val="0"/>
          <w:marRight w:val="0"/>
          <w:marTop w:val="0"/>
          <w:marBottom w:val="0"/>
          <w:divBdr>
            <w:top w:val="none" w:sz="0" w:space="0" w:color="auto"/>
            <w:left w:val="none" w:sz="0" w:space="0" w:color="auto"/>
            <w:bottom w:val="none" w:sz="0" w:space="0" w:color="auto"/>
            <w:right w:val="none" w:sz="0" w:space="0" w:color="auto"/>
          </w:divBdr>
        </w:div>
      </w:divsChild>
    </w:div>
    <w:div w:id="1627854626">
      <w:bodyDiv w:val="1"/>
      <w:marLeft w:val="0"/>
      <w:marRight w:val="0"/>
      <w:marTop w:val="0"/>
      <w:marBottom w:val="0"/>
      <w:divBdr>
        <w:top w:val="none" w:sz="0" w:space="0" w:color="auto"/>
        <w:left w:val="none" w:sz="0" w:space="0" w:color="auto"/>
        <w:bottom w:val="none" w:sz="0" w:space="0" w:color="auto"/>
        <w:right w:val="none" w:sz="0" w:space="0" w:color="auto"/>
      </w:divBdr>
    </w:div>
    <w:div w:id="1675261942">
      <w:bodyDiv w:val="1"/>
      <w:marLeft w:val="0"/>
      <w:marRight w:val="0"/>
      <w:marTop w:val="0"/>
      <w:marBottom w:val="0"/>
      <w:divBdr>
        <w:top w:val="none" w:sz="0" w:space="0" w:color="auto"/>
        <w:left w:val="none" w:sz="0" w:space="0" w:color="auto"/>
        <w:bottom w:val="none" w:sz="0" w:space="0" w:color="auto"/>
        <w:right w:val="none" w:sz="0" w:space="0" w:color="auto"/>
      </w:divBdr>
    </w:div>
    <w:div w:id="1757284166">
      <w:bodyDiv w:val="1"/>
      <w:marLeft w:val="0"/>
      <w:marRight w:val="0"/>
      <w:marTop w:val="0"/>
      <w:marBottom w:val="0"/>
      <w:divBdr>
        <w:top w:val="none" w:sz="0" w:space="0" w:color="auto"/>
        <w:left w:val="none" w:sz="0" w:space="0" w:color="auto"/>
        <w:bottom w:val="none" w:sz="0" w:space="0" w:color="auto"/>
        <w:right w:val="none" w:sz="0" w:space="0" w:color="auto"/>
      </w:divBdr>
    </w:div>
    <w:div w:id="1817915676">
      <w:bodyDiv w:val="1"/>
      <w:marLeft w:val="0"/>
      <w:marRight w:val="0"/>
      <w:marTop w:val="0"/>
      <w:marBottom w:val="0"/>
      <w:divBdr>
        <w:top w:val="none" w:sz="0" w:space="0" w:color="auto"/>
        <w:left w:val="none" w:sz="0" w:space="0" w:color="auto"/>
        <w:bottom w:val="none" w:sz="0" w:space="0" w:color="auto"/>
        <w:right w:val="none" w:sz="0" w:space="0" w:color="auto"/>
      </w:divBdr>
    </w:div>
    <w:div w:id="1869828198">
      <w:bodyDiv w:val="1"/>
      <w:marLeft w:val="0"/>
      <w:marRight w:val="0"/>
      <w:marTop w:val="0"/>
      <w:marBottom w:val="0"/>
      <w:divBdr>
        <w:top w:val="none" w:sz="0" w:space="0" w:color="auto"/>
        <w:left w:val="none" w:sz="0" w:space="0" w:color="auto"/>
        <w:bottom w:val="none" w:sz="0" w:space="0" w:color="auto"/>
        <w:right w:val="none" w:sz="0" w:space="0" w:color="auto"/>
      </w:divBdr>
    </w:div>
    <w:div w:id="1871071494">
      <w:bodyDiv w:val="1"/>
      <w:marLeft w:val="0"/>
      <w:marRight w:val="0"/>
      <w:marTop w:val="0"/>
      <w:marBottom w:val="0"/>
      <w:divBdr>
        <w:top w:val="none" w:sz="0" w:space="0" w:color="auto"/>
        <w:left w:val="none" w:sz="0" w:space="0" w:color="auto"/>
        <w:bottom w:val="none" w:sz="0" w:space="0" w:color="auto"/>
        <w:right w:val="none" w:sz="0" w:space="0" w:color="auto"/>
      </w:divBdr>
    </w:div>
    <w:div w:id="1874145124">
      <w:bodyDiv w:val="1"/>
      <w:marLeft w:val="0"/>
      <w:marRight w:val="0"/>
      <w:marTop w:val="0"/>
      <w:marBottom w:val="0"/>
      <w:divBdr>
        <w:top w:val="none" w:sz="0" w:space="0" w:color="auto"/>
        <w:left w:val="none" w:sz="0" w:space="0" w:color="auto"/>
        <w:bottom w:val="none" w:sz="0" w:space="0" w:color="auto"/>
        <w:right w:val="none" w:sz="0" w:space="0" w:color="auto"/>
      </w:divBdr>
    </w:div>
    <w:div w:id="1927424540">
      <w:bodyDiv w:val="1"/>
      <w:marLeft w:val="0"/>
      <w:marRight w:val="0"/>
      <w:marTop w:val="0"/>
      <w:marBottom w:val="0"/>
      <w:divBdr>
        <w:top w:val="none" w:sz="0" w:space="0" w:color="auto"/>
        <w:left w:val="none" w:sz="0" w:space="0" w:color="auto"/>
        <w:bottom w:val="none" w:sz="0" w:space="0" w:color="auto"/>
        <w:right w:val="none" w:sz="0" w:space="0" w:color="auto"/>
      </w:divBdr>
    </w:div>
    <w:div w:id="2035299708">
      <w:bodyDiv w:val="1"/>
      <w:marLeft w:val="0"/>
      <w:marRight w:val="0"/>
      <w:marTop w:val="0"/>
      <w:marBottom w:val="0"/>
      <w:divBdr>
        <w:top w:val="none" w:sz="0" w:space="0" w:color="auto"/>
        <w:left w:val="none" w:sz="0" w:space="0" w:color="auto"/>
        <w:bottom w:val="none" w:sz="0" w:space="0" w:color="auto"/>
        <w:right w:val="none" w:sz="0" w:space="0" w:color="auto"/>
      </w:divBdr>
    </w:div>
    <w:div w:id="2041860505">
      <w:bodyDiv w:val="1"/>
      <w:marLeft w:val="0"/>
      <w:marRight w:val="0"/>
      <w:marTop w:val="0"/>
      <w:marBottom w:val="0"/>
      <w:divBdr>
        <w:top w:val="none" w:sz="0" w:space="0" w:color="auto"/>
        <w:left w:val="none" w:sz="0" w:space="0" w:color="auto"/>
        <w:bottom w:val="none" w:sz="0" w:space="0" w:color="auto"/>
        <w:right w:val="none" w:sz="0" w:space="0" w:color="auto"/>
      </w:divBdr>
    </w:div>
    <w:div w:id="2091080724">
      <w:bodyDiv w:val="1"/>
      <w:marLeft w:val="0"/>
      <w:marRight w:val="0"/>
      <w:marTop w:val="0"/>
      <w:marBottom w:val="0"/>
      <w:divBdr>
        <w:top w:val="none" w:sz="0" w:space="0" w:color="auto"/>
        <w:left w:val="none" w:sz="0" w:space="0" w:color="auto"/>
        <w:bottom w:val="none" w:sz="0" w:space="0" w:color="auto"/>
        <w:right w:val="none" w:sz="0" w:space="0" w:color="auto"/>
      </w:divBdr>
    </w:div>
    <w:div w:id="2091464788">
      <w:bodyDiv w:val="1"/>
      <w:marLeft w:val="0"/>
      <w:marRight w:val="0"/>
      <w:marTop w:val="0"/>
      <w:marBottom w:val="0"/>
      <w:divBdr>
        <w:top w:val="none" w:sz="0" w:space="0" w:color="auto"/>
        <w:left w:val="none" w:sz="0" w:space="0" w:color="auto"/>
        <w:bottom w:val="none" w:sz="0" w:space="0" w:color="auto"/>
        <w:right w:val="none" w:sz="0" w:space="0" w:color="auto"/>
      </w:divBdr>
    </w:div>
    <w:div w:id="2093160259">
      <w:bodyDiv w:val="1"/>
      <w:marLeft w:val="0"/>
      <w:marRight w:val="0"/>
      <w:marTop w:val="0"/>
      <w:marBottom w:val="0"/>
      <w:divBdr>
        <w:top w:val="none" w:sz="0" w:space="0" w:color="auto"/>
        <w:left w:val="none" w:sz="0" w:space="0" w:color="auto"/>
        <w:bottom w:val="none" w:sz="0" w:space="0" w:color="auto"/>
        <w:right w:val="none" w:sz="0" w:space="0" w:color="auto"/>
      </w:divBdr>
    </w:div>
    <w:div w:id="2096050051">
      <w:bodyDiv w:val="1"/>
      <w:marLeft w:val="0"/>
      <w:marRight w:val="0"/>
      <w:marTop w:val="0"/>
      <w:marBottom w:val="0"/>
      <w:divBdr>
        <w:top w:val="none" w:sz="0" w:space="0" w:color="auto"/>
        <w:left w:val="none" w:sz="0" w:space="0" w:color="auto"/>
        <w:bottom w:val="none" w:sz="0" w:space="0" w:color="auto"/>
        <w:right w:val="none" w:sz="0" w:space="0" w:color="auto"/>
      </w:divBdr>
    </w:div>
    <w:div w:id="2101098070">
      <w:bodyDiv w:val="1"/>
      <w:marLeft w:val="0"/>
      <w:marRight w:val="0"/>
      <w:marTop w:val="0"/>
      <w:marBottom w:val="0"/>
      <w:divBdr>
        <w:top w:val="none" w:sz="0" w:space="0" w:color="auto"/>
        <w:left w:val="none" w:sz="0" w:space="0" w:color="auto"/>
        <w:bottom w:val="none" w:sz="0" w:space="0" w:color="auto"/>
        <w:right w:val="none" w:sz="0" w:space="0" w:color="auto"/>
      </w:divBdr>
    </w:div>
    <w:div w:id="2117483251">
      <w:bodyDiv w:val="1"/>
      <w:marLeft w:val="0"/>
      <w:marRight w:val="0"/>
      <w:marTop w:val="0"/>
      <w:marBottom w:val="0"/>
      <w:divBdr>
        <w:top w:val="none" w:sz="0" w:space="0" w:color="auto"/>
        <w:left w:val="none" w:sz="0" w:space="0" w:color="auto"/>
        <w:bottom w:val="none" w:sz="0" w:space="0" w:color="auto"/>
        <w:right w:val="none" w:sz="0" w:space="0" w:color="auto"/>
      </w:divBdr>
    </w:div>
    <w:div w:id="2120028155">
      <w:bodyDiv w:val="1"/>
      <w:marLeft w:val="0"/>
      <w:marRight w:val="0"/>
      <w:marTop w:val="0"/>
      <w:marBottom w:val="0"/>
      <w:divBdr>
        <w:top w:val="none" w:sz="0" w:space="0" w:color="auto"/>
        <w:left w:val="none" w:sz="0" w:space="0" w:color="auto"/>
        <w:bottom w:val="none" w:sz="0" w:space="0" w:color="auto"/>
        <w:right w:val="none" w:sz="0" w:space="0" w:color="auto"/>
      </w:divBdr>
    </w:div>
    <w:div w:id="21202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_rels/header2.xml.rels>&#65279;<?xml version="1.0" encoding="UTF-8" standalone="yes"?>
<Relationships xmlns="http://schemas.openxmlformats.org/package/2006/relationships">
  <Relationship Id="rId1" Type="http://schemas.openxmlformats.org/officeDocument/2006/relationships/image" Target="media/image2.png" />
</Relationships>
</file>

<file path=word/_rels/numbering.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4</Pages>
  <Words>894</Words>
  <Characters>5421</Characters>
  <Application>Microsoft Office Word</Application>
  <DocSecurity>0</DocSecurity>
  <Lines>110</Lines>
  <Paragraphs>52</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ABI</vt:lpstr>
      <vt:lpstr>ABI</vt:lpstr>
      <vt:lpstr>ABI</vt:lpstr>
    </vt:vector>
  </TitlesOfParts>
  <Company/>
  <LinksUpToDate>false</LinksUpToDate>
  <CharactersWithSpaces>6267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S_TRACKING_ID">
    <vt:lpwstr>fc905e42-4c19-46a6-9089-5b6bd881465d</vt:lpwstr>
  </property>
</Properties>
</file>